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42" w:firstLineChars="1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2022年度滁州市第一人民医院公开招聘编外行政管理人员面试成绩</w:t>
      </w:r>
    </w:p>
    <w:bookmarkEnd w:id="0"/>
    <w:p/>
    <w:tbl>
      <w:tblPr>
        <w:tblStyle w:val="3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2712"/>
        <w:gridCol w:w="26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面试得分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土木工程、电气工程与自动化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246FC"/>
    <w:rsid w:val="719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2022-11-20T02:16:00Z</dcterms:created>
  <dc:creator>双生代</dc:creator>
  <cp:lastModifiedBy>双生代</cp:lastModifiedBy>
  <dcterms:modified xsi:type="dcterms:W3CDTF">2022-11-20T02:26:03Z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