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default" w:eastAsia="华文仿宋"/>
          <w:lang w:val="en-US" w:eastAsia="zh-CN"/>
        </w:rPr>
      </w:pPr>
      <w:r>
        <w:rPr>
          <w:rFonts w:hint="eastAsia"/>
          <w:lang w:val="en-US" w:eastAsia="zh-CN"/>
        </w:rPr>
        <w:t>附件三：综合评分法</w:t>
      </w:r>
    </w:p>
    <w:tbl>
      <w:tblPr>
        <w:tblStyle w:val="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73"/>
        <w:gridCol w:w="1161"/>
        <w:gridCol w:w="6139"/>
        <w:gridCol w:w="6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336" w:type="pct"/>
            <w:shd w:val="clear" w:color="auto" w:fill="auto"/>
            <w:vAlign w:val="center"/>
          </w:tcPr>
          <w:p>
            <w:pPr>
              <w:autoSpaceDN w:val="0"/>
              <w:adjustRightInd w:val="0"/>
              <w:snapToGrid w:val="0"/>
              <w:spacing w:line="240" w:lineRule="auto"/>
              <w:ind w:firstLine="0" w:firstLineChars="0"/>
              <w:jc w:val="center"/>
              <w:rPr>
                <w:rFonts w:ascii="仿宋" w:hAnsi="仿宋" w:eastAsia="仿宋"/>
                <w:b/>
                <w:sz w:val="22"/>
                <w:szCs w:val="22"/>
              </w:rPr>
            </w:pPr>
            <w:r>
              <w:rPr>
                <w:rFonts w:hint="eastAsia" w:ascii="仿宋" w:hAnsi="仿宋" w:eastAsia="仿宋"/>
                <w:b/>
                <w:sz w:val="22"/>
                <w:szCs w:val="22"/>
              </w:rPr>
              <w:t>序号</w:t>
            </w:r>
          </w:p>
        </w:tc>
        <w:tc>
          <w:tcPr>
            <w:tcW w:w="681" w:type="pct"/>
            <w:shd w:val="clear" w:color="auto" w:fill="auto"/>
            <w:vAlign w:val="center"/>
          </w:tcPr>
          <w:p>
            <w:pPr>
              <w:autoSpaceDN w:val="0"/>
              <w:adjustRightInd w:val="0"/>
              <w:snapToGrid w:val="0"/>
              <w:spacing w:line="240" w:lineRule="auto"/>
              <w:ind w:firstLine="0" w:firstLineChars="0"/>
              <w:jc w:val="center"/>
              <w:rPr>
                <w:rFonts w:ascii="仿宋" w:hAnsi="仿宋" w:eastAsia="仿宋"/>
                <w:b/>
                <w:sz w:val="22"/>
                <w:szCs w:val="22"/>
              </w:rPr>
            </w:pPr>
            <w:r>
              <w:rPr>
                <w:rFonts w:ascii="仿宋" w:hAnsi="仿宋" w:eastAsia="仿宋"/>
                <w:b/>
                <w:sz w:val="22"/>
                <w:szCs w:val="22"/>
              </w:rPr>
              <w:t>评分</w:t>
            </w:r>
          </w:p>
          <w:p>
            <w:pPr>
              <w:autoSpaceDN w:val="0"/>
              <w:adjustRightInd w:val="0"/>
              <w:snapToGrid w:val="0"/>
              <w:spacing w:line="240" w:lineRule="auto"/>
              <w:ind w:firstLine="0" w:firstLineChars="0"/>
              <w:jc w:val="center"/>
              <w:rPr>
                <w:rFonts w:ascii="仿宋" w:hAnsi="仿宋" w:eastAsia="仿宋"/>
                <w:b/>
                <w:sz w:val="22"/>
                <w:szCs w:val="22"/>
              </w:rPr>
            </w:pPr>
            <w:r>
              <w:rPr>
                <w:rFonts w:ascii="仿宋" w:hAnsi="仿宋" w:eastAsia="仿宋"/>
                <w:b/>
                <w:sz w:val="22"/>
                <w:szCs w:val="22"/>
              </w:rPr>
              <w:t>因素</w:t>
            </w:r>
          </w:p>
        </w:tc>
        <w:tc>
          <w:tcPr>
            <w:tcW w:w="3601" w:type="pct"/>
            <w:shd w:val="clear" w:color="auto" w:fill="auto"/>
            <w:vAlign w:val="center"/>
          </w:tcPr>
          <w:p>
            <w:pPr>
              <w:autoSpaceDN w:val="0"/>
              <w:adjustRightInd w:val="0"/>
              <w:snapToGrid w:val="0"/>
              <w:spacing w:line="240" w:lineRule="auto"/>
              <w:ind w:firstLine="0" w:firstLineChars="0"/>
              <w:jc w:val="center"/>
              <w:rPr>
                <w:rFonts w:ascii="仿宋" w:hAnsi="仿宋" w:eastAsia="仿宋"/>
                <w:b/>
                <w:sz w:val="22"/>
                <w:szCs w:val="22"/>
              </w:rPr>
            </w:pPr>
            <w:r>
              <w:rPr>
                <w:rFonts w:ascii="仿宋" w:hAnsi="仿宋" w:eastAsia="仿宋"/>
                <w:b/>
                <w:sz w:val="22"/>
                <w:szCs w:val="22"/>
              </w:rPr>
              <w:t>评分标准</w:t>
            </w:r>
          </w:p>
        </w:tc>
        <w:tc>
          <w:tcPr>
            <w:tcW w:w="380" w:type="pct"/>
            <w:shd w:val="clear" w:color="auto" w:fill="auto"/>
            <w:vAlign w:val="center"/>
          </w:tcPr>
          <w:p>
            <w:pPr>
              <w:autoSpaceDN w:val="0"/>
              <w:adjustRightInd w:val="0"/>
              <w:snapToGrid w:val="0"/>
              <w:spacing w:line="240" w:lineRule="auto"/>
              <w:ind w:firstLine="0" w:firstLineChars="0"/>
              <w:jc w:val="center"/>
              <w:rPr>
                <w:rFonts w:ascii="仿宋" w:hAnsi="仿宋" w:eastAsia="仿宋"/>
                <w:b/>
                <w:sz w:val="22"/>
                <w:szCs w:val="22"/>
              </w:rPr>
            </w:pPr>
            <w:r>
              <w:rPr>
                <w:rFonts w:hint="eastAsia" w:ascii="仿宋" w:hAnsi="仿宋" w:eastAsia="仿宋"/>
                <w:b/>
                <w:sz w:val="22"/>
                <w:szCs w:val="22"/>
              </w:rPr>
              <w:t>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5000" w:type="pct"/>
            <w:gridSpan w:val="4"/>
            <w:shd w:val="clear" w:color="auto" w:fill="auto"/>
            <w:vAlign w:val="center"/>
          </w:tcPr>
          <w:p>
            <w:pPr>
              <w:adjustRightInd w:val="0"/>
              <w:snapToGrid w:val="0"/>
              <w:spacing w:line="240" w:lineRule="auto"/>
              <w:ind w:firstLine="0" w:firstLineChars="0"/>
              <w:jc w:val="center"/>
              <w:rPr>
                <w:rFonts w:hint="default" w:ascii="仿宋" w:hAnsi="仿宋" w:eastAsia="仿宋" w:cs="宋体"/>
                <w:b/>
                <w:sz w:val="22"/>
                <w:szCs w:val="22"/>
                <w:lang w:val="en-US" w:eastAsia="zh-CN"/>
              </w:rPr>
            </w:pPr>
            <w:r>
              <w:rPr>
                <w:rFonts w:hint="eastAsia" w:ascii="仿宋" w:hAnsi="仿宋" w:eastAsia="仿宋" w:cs="宋体"/>
                <w:b/>
                <w:sz w:val="22"/>
                <w:szCs w:val="22"/>
                <w:lang w:val="en-US" w:eastAsia="zh-CN"/>
              </w:rPr>
              <w:t>商务分（30分）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336" w:type="pct"/>
            <w:shd w:val="clear" w:color="auto" w:fill="auto"/>
            <w:vAlign w:val="center"/>
          </w:tcPr>
          <w:p>
            <w:pPr>
              <w:adjustRightInd w:val="0"/>
              <w:snapToGrid w:val="0"/>
              <w:spacing w:line="240" w:lineRule="auto"/>
              <w:ind w:firstLine="0" w:firstLineChars="0"/>
              <w:jc w:val="center"/>
              <w:rPr>
                <w:rFonts w:ascii="仿宋" w:hAnsi="仿宋" w:eastAsia="仿宋" w:cs="宋体"/>
                <w:sz w:val="22"/>
                <w:szCs w:val="22"/>
              </w:rPr>
            </w:pPr>
            <w:r>
              <w:rPr>
                <w:rFonts w:hint="eastAsia" w:ascii="仿宋" w:hAnsi="仿宋" w:eastAsia="仿宋" w:cs="宋体"/>
                <w:sz w:val="22"/>
                <w:szCs w:val="22"/>
              </w:rPr>
              <w:t>1</w:t>
            </w:r>
          </w:p>
        </w:tc>
        <w:tc>
          <w:tcPr>
            <w:tcW w:w="681" w:type="pct"/>
            <w:shd w:val="clear" w:color="auto" w:fill="auto"/>
            <w:vAlign w:val="center"/>
          </w:tcPr>
          <w:p>
            <w:pPr>
              <w:adjustRightInd w:val="0"/>
              <w:snapToGrid w:val="0"/>
              <w:spacing w:line="240" w:lineRule="auto"/>
              <w:ind w:firstLine="0" w:firstLineChars="0"/>
              <w:jc w:val="center"/>
              <w:rPr>
                <w:rFonts w:ascii="仿宋" w:hAnsi="仿宋" w:eastAsia="仿宋" w:cs="宋体"/>
                <w:sz w:val="22"/>
                <w:szCs w:val="22"/>
              </w:rPr>
            </w:pPr>
            <w:r>
              <w:rPr>
                <w:rFonts w:hint="eastAsia" w:ascii="仿宋" w:hAnsi="仿宋" w:eastAsia="仿宋" w:cs="宋体"/>
                <w:sz w:val="22"/>
                <w:szCs w:val="22"/>
              </w:rPr>
              <w:t>价格</w:t>
            </w:r>
          </w:p>
        </w:tc>
        <w:tc>
          <w:tcPr>
            <w:tcW w:w="3601" w:type="pct"/>
            <w:shd w:val="clear" w:color="auto" w:fill="auto"/>
            <w:vAlign w:val="center"/>
          </w:tcPr>
          <w:p>
            <w:pPr>
              <w:tabs>
                <w:tab w:val="left" w:pos="720"/>
              </w:tabs>
              <w:adjustRightInd w:val="0"/>
              <w:snapToGrid w:val="0"/>
              <w:spacing w:line="240" w:lineRule="auto"/>
              <w:ind w:firstLine="0" w:firstLineChars="0"/>
              <w:rPr>
                <w:rFonts w:ascii="仿宋" w:hAnsi="仿宋" w:eastAsia="仿宋"/>
                <w:color w:val="000000" w:themeColor="text1"/>
                <w:sz w:val="22"/>
                <w:szCs w:val="22"/>
                <w14:textFill>
                  <w14:solidFill>
                    <w14:schemeClr w14:val="tx1"/>
                  </w14:solidFill>
                </w14:textFill>
              </w:rPr>
            </w:pPr>
            <w:r>
              <w:rPr>
                <w:rFonts w:hint="eastAsia" w:ascii="仿宋" w:hAnsi="仿宋" w:eastAsia="仿宋"/>
                <w:color w:val="000000" w:themeColor="text1"/>
                <w:sz w:val="22"/>
                <w:szCs w:val="22"/>
                <w14:textFill>
                  <w14:solidFill>
                    <w14:schemeClr w14:val="tx1"/>
                  </w14:solidFill>
                </w14:textFill>
              </w:rPr>
              <w:t>采用低价优先法计算，总价价格最低者得</w:t>
            </w:r>
            <w:r>
              <w:rPr>
                <w:rFonts w:hint="eastAsia" w:ascii="仿宋" w:hAnsi="仿宋" w:eastAsia="仿宋"/>
                <w:color w:val="000000" w:themeColor="text1"/>
                <w:sz w:val="22"/>
                <w:szCs w:val="22"/>
                <w:lang w:val="en-US" w:eastAsia="zh-CN"/>
                <w14:textFill>
                  <w14:solidFill>
                    <w14:schemeClr w14:val="tx1"/>
                  </w14:solidFill>
                </w14:textFill>
              </w:rPr>
              <w:t>30</w:t>
            </w:r>
            <w:r>
              <w:rPr>
                <w:rFonts w:hint="eastAsia" w:ascii="仿宋" w:hAnsi="仿宋" w:eastAsia="仿宋"/>
                <w:color w:val="000000" w:themeColor="text1"/>
                <w:sz w:val="22"/>
                <w:szCs w:val="22"/>
                <w14:textFill>
                  <w14:solidFill>
                    <w14:schemeClr w14:val="tx1"/>
                  </w14:solidFill>
                </w14:textFill>
              </w:rPr>
              <w:t>分，其它家得分=最低价/各家的报价×</w:t>
            </w:r>
            <w:r>
              <w:rPr>
                <w:rFonts w:hint="eastAsia" w:ascii="仿宋" w:hAnsi="仿宋" w:eastAsia="仿宋"/>
                <w:color w:val="000000" w:themeColor="text1"/>
                <w:sz w:val="22"/>
                <w:szCs w:val="22"/>
                <w:lang w:val="en-US" w:eastAsia="zh-CN"/>
                <w14:textFill>
                  <w14:solidFill>
                    <w14:schemeClr w14:val="tx1"/>
                  </w14:solidFill>
                </w14:textFill>
              </w:rPr>
              <w:t>30</w:t>
            </w:r>
            <w:r>
              <w:rPr>
                <w:rFonts w:hint="eastAsia" w:ascii="仿宋" w:hAnsi="仿宋" w:eastAsia="仿宋"/>
                <w:color w:val="000000" w:themeColor="text1"/>
                <w:sz w:val="22"/>
                <w:szCs w:val="22"/>
                <w14:textFill>
                  <w14:solidFill>
                    <w14:schemeClr w14:val="tx1"/>
                  </w14:solidFill>
                </w14:textFill>
              </w:rPr>
              <w:t>分</w:t>
            </w:r>
          </w:p>
        </w:tc>
        <w:tc>
          <w:tcPr>
            <w:tcW w:w="380" w:type="pct"/>
            <w:shd w:val="clear" w:color="auto" w:fill="auto"/>
            <w:vAlign w:val="center"/>
          </w:tcPr>
          <w:p>
            <w:pPr>
              <w:adjustRightInd w:val="0"/>
              <w:snapToGrid w:val="0"/>
              <w:spacing w:line="240" w:lineRule="auto"/>
              <w:ind w:firstLine="0" w:firstLineChars="0"/>
              <w:jc w:val="center"/>
              <w:rPr>
                <w:rFonts w:hint="default" w:ascii="仿宋" w:hAnsi="仿宋" w:eastAsia="仿宋" w:cs="宋体"/>
                <w:kern w:val="0"/>
                <w:sz w:val="22"/>
                <w:szCs w:val="22"/>
                <w:lang w:val="en-US" w:eastAsia="zh-CN"/>
              </w:rPr>
            </w:pPr>
            <w:r>
              <w:rPr>
                <w:rFonts w:hint="eastAsia" w:ascii="仿宋" w:hAnsi="仿宋" w:eastAsia="仿宋" w:cs="宋体"/>
                <w:kern w:val="0"/>
                <w:sz w:val="22"/>
                <w:szCs w:val="22"/>
                <w:lang w:val="en-US" w:eastAsia="zh-CN"/>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 w:hRule="atLeast"/>
        </w:trPr>
        <w:tc>
          <w:tcPr>
            <w:tcW w:w="5000" w:type="pct"/>
            <w:gridSpan w:val="4"/>
            <w:shd w:val="clear" w:color="auto" w:fill="auto"/>
            <w:vAlign w:val="center"/>
          </w:tcPr>
          <w:p>
            <w:pPr>
              <w:adjustRightInd w:val="0"/>
              <w:snapToGrid w:val="0"/>
              <w:spacing w:line="240" w:lineRule="auto"/>
              <w:ind w:firstLine="0" w:firstLineChars="0"/>
              <w:jc w:val="center"/>
              <w:rPr>
                <w:rFonts w:hint="default" w:ascii="仿宋" w:hAnsi="仿宋" w:eastAsia="仿宋" w:cs="宋体"/>
                <w:b/>
                <w:bCs/>
                <w:sz w:val="22"/>
                <w:szCs w:val="22"/>
                <w:lang w:val="en-US" w:eastAsia="zh-CN"/>
              </w:rPr>
            </w:pPr>
            <w:r>
              <w:rPr>
                <w:rFonts w:hint="eastAsia" w:ascii="仿宋" w:hAnsi="仿宋" w:eastAsia="仿宋" w:cs="宋体"/>
                <w:b/>
                <w:bCs/>
                <w:sz w:val="22"/>
                <w:szCs w:val="22"/>
                <w:lang w:val="en-US" w:eastAsia="zh-CN"/>
              </w:rPr>
              <w:t>技术、资信（70）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336" w:type="pct"/>
            <w:shd w:val="clear" w:color="auto" w:fill="auto"/>
            <w:vAlign w:val="center"/>
          </w:tcPr>
          <w:p>
            <w:pPr>
              <w:adjustRightInd w:val="0"/>
              <w:snapToGrid w:val="0"/>
              <w:spacing w:line="240" w:lineRule="auto"/>
              <w:ind w:firstLine="0" w:firstLineChars="0"/>
              <w:jc w:val="center"/>
              <w:rPr>
                <w:rFonts w:hint="eastAsia" w:ascii="仿宋" w:hAnsi="仿宋" w:eastAsia="仿宋" w:cs="宋体"/>
                <w:sz w:val="22"/>
                <w:szCs w:val="22"/>
                <w:lang w:eastAsia="zh-CN"/>
              </w:rPr>
            </w:pPr>
            <w:r>
              <w:rPr>
                <w:rFonts w:hint="eastAsia" w:ascii="仿宋" w:hAnsi="仿宋" w:eastAsia="仿宋" w:cs="宋体"/>
                <w:sz w:val="22"/>
                <w:szCs w:val="22"/>
                <w:lang w:val="en-US" w:eastAsia="zh-CN"/>
              </w:rPr>
              <w:t>2</w:t>
            </w:r>
          </w:p>
        </w:tc>
        <w:tc>
          <w:tcPr>
            <w:tcW w:w="681" w:type="pct"/>
            <w:shd w:val="clear" w:color="auto" w:fill="auto"/>
            <w:vAlign w:val="center"/>
          </w:tcPr>
          <w:p>
            <w:pPr>
              <w:adjustRightInd w:val="0"/>
              <w:snapToGrid w:val="0"/>
              <w:spacing w:line="240" w:lineRule="auto"/>
              <w:ind w:firstLine="0" w:firstLineChars="0"/>
              <w:jc w:val="center"/>
              <w:rPr>
                <w:rFonts w:ascii="仿宋" w:hAnsi="仿宋" w:eastAsia="仿宋" w:cs="宋体"/>
                <w:sz w:val="22"/>
                <w:szCs w:val="22"/>
              </w:rPr>
            </w:pPr>
            <w:r>
              <w:rPr>
                <w:rFonts w:ascii="宋体" w:hAnsi="宋体" w:cs="宋体"/>
                <w:sz w:val="22"/>
                <w:szCs w:val="22"/>
              </w:rPr>
              <w:t>企业资质</w:t>
            </w:r>
          </w:p>
        </w:tc>
        <w:tc>
          <w:tcPr>
            <w:tcW w:w="3601" w:type="pct"/>
            <w:shd w:val="clear" w:color="auto" w:fill="auto"/>
            <w:vAlign w:val="center"/>
          </w:tcPr>
          <w:p>
            <w:pPr>
              <w:adjustRightInd w:val="0"/>
              <w:snapToGrid w:val="0"/>
              <w:spacing w:line="240" w:lineRule="auto"/>
              <w:ind w:firstLine="440" w:firstLineChars="200"/>
              <w:rPr>
                <w:rFonts w:ascii="仿宋" w:hAnsi="仿宋" w:eastAsia="仿宋" w:cs="宋体"/>
                <w:b/>
                <w:bCs/>
                <w:sz w:val="22"/>
                <w:szCs w:val="22"/>
              </w:rPr>
            </w:pPr>
            <w:r>
              <w:rPr>
                <w:rFonts w:hint="eastAsia" w:ascii="仿宋" w:hAnsi="仿宋" w:eastAsia="仿宋" w:cs="仿宋"/>
                <w:sz w:val="22"/>
                <w:szCs w:val="22"/>
              </w:rPr>
              <w:t>投标人具有第三方机构评定的AAA级信用等级认证、AAA级重合同守信用企业、AAA级质量服务诚信单位、AAA级诚信经营示范单位、科技型中小企业的，并且在有效期内的，每一证得1分，总分5分</w:t>
            </w:r>
          </w:p>
        </w:tc>
        <w:tc>
          <w:tcPr>
            <w:tcW w:w="380" w:type="pct"/>
            <w:shd w:val="clear" w:color="auto" w:fill="auto"/>
            <w:vAlign w:val="center"/>
          </w:tcPr>
          <w:p>
            <w:pPr>
              <w:adjustRightInd w:val="0"/>
              <w:snapToGrid w:val="0"/>
              <w:spacing w:line="240" w:lineRule="auto"/>
              <w:ind w:firstLine="0" w:firstLineChars="0"/>
              <w:jc w:val="center"/>
              <w:rPr>
                <w:rFonts w:hint="eastAsia" w:ascii="仿宋" w:hAnsi="仿宋" w:eastAsia="仿宋" w:cs="宋体"/>
                <w:b/>
                <w:bCs/>
                <w:sz w:val="22"/>
                <w:szCs w:val="22"/>
                <w:lang w:val="en-US" w:eastAsia="zh-CN"/>
              </w:rPr>
            </w:pPr>
            <w:r>
              <w:rPr>
                <w:rFonts w:hint="eastAsia" w:ascii="仿宋" w:hAnsi="仿宋" w:eastAsia="仿宋" w:cs="宋体"/>
                <w:b w:val="0"/>
                <w:bCs w:val="0"/>
                <w:sz w:val="22"/>
                <w:szCs w:val="22"/>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336" w:type="pct"/>
            <w:shd w:val="clear" w:color="auto" w:fill="auto"/>
            <w:vAlign w:val="center"/>
          </w:tcPr>
          <w:p>
            <w:pPr>
              <w:adjustRightInd w:val="0"/>
              <w:snapToGrid w:val="0"/>
              <w:spacing w:line="240" w:lineRule="auto"/>
              <w:ind w:firstLine="0" w:firstLineChars="0"/>
              <w:jc w:val="center"/>
              <w:rPr>
                <w:rFonts w:ascii="仿宋" w:hAnsi="仿宋" w:eastAsia="仿宋" w:cs="宋体"/>
                <w:sz w:val="22"/>
                <w:szCs w:val="22"/>
              </w:rPr>
            </w:pPr>
            <w:r>
              <w:rPr>
                <w:rFonts w:ascii="仿宋" w:hAnsi="仿宋" w:eastAsia="仿宋" w:cs="宋体"/>
                <w:sz w:val="22"/>
                <w:szCs w:val="22"/>
              </w:rPr>
              <w:t>3</w:t>
            </w:r>
          </w:p>
        </w:tc>
        <w:tc>
          <w:tcPr>
            <w:tcW w:w="681" w:type="pct"/>
            <w:shd w:val="clear" w:color="auto" w:fill="auto"/>
            <w:vAlign w:val="center"/>
          </w:tcPr>
          <w:p>
            <w:pPr>
              <w:adjustRightInd w:val="0"/>
              <w:snapToGrid w:val="0"/>
              <w:spacing w:line="240" w:lineRule="auto"/>
              <w:ind w:firstLine="0" w:firstLineChars="0"/>
              <w:jc w:val="center"/>
              <w:rPr>
                <w:rFonts w:ascii="仿宋" w:hAnsi="仿宋" w:eastAsia="仿宋" w:cs="宋体"/>
                <w:sz w:val="22"/>
                <w:szCs w:val="22"/>
              </w:rPr>
            </w:pPr>
            <w:r>
              <w:rPr>
                <w:rFonts w:hint="eastAsia" w:ascii="仿宋" w:hAnsi="仿宋" w:eastAsia="仿宋" w:cs="宋体"/>
                <w:sz w:val="22"/>
                <w:szCs w:val="22"/>
              </w:rPr>
              <w:t>产品功能、性能、配置要求</w:t>
            </w:r>
          </w:p>
        </w:tc>
        <w:tc>
          <w:tcPr>
            <w:tcW w:w="3601" w:type="pct"/>
            <w:shd w:val="clear" w:color="auto" w:fill="auto"/>
            <w:vAlign w:val="center"/>
          </w:tcPr>
          <w:p>
            <w:pPr>
              <w:adjustRightInd w:val="0"/>
              <w:snapToGrid w:val="0"/>
              <w:spacing w:line="240" w:lineRule="auto"/>
              <w:ind w:firstLine="440" w:firstLineChars="200"/>
              <w:rPr>
                <w:rFonts w:ascii="仿宋" w:hAnsi="仿宋" w:eastAsia="仿宋" w:cs="宋体"/>
                <w:sz w:val="22"/>
                <w:szCs w:val="22"/>
              </w:rPr>
            </w:pPr>
            <w:r>
              <w:rPr>
                <w:rFonts w:hint="eastAsia" w:ascii="仿宋" w:hAnsi="仿宋" w:eastAsia="仿宋" w:cs="宋体"/>
                <w:sz w:val="22"/>
                <w:szCs w:val="22"/>
              </w:rPr>
              <w:t>1、标注“▲”条款的为重要参数每满足或优于一项指标，得</w:t>
            </w:r>
            <w:r>
              <w:rPr>
                <w:rFonts w:hint="eastAsia" w:ascii="仿宋" w:hAnsi="仿宋" w:eastAsia="仿宋" w:cs="宋体"/>
                <w:sz w:val="22"/>
                <w:szCs w:val="22"/>
                <w:lang w:val="en-US" w:eastAsia="zh-CN"/>
              </w:rPr>
              <w:t>3</w:t>
            </w:r>
            <w:r>
              <w:rPr>
                <w:rFonts w:hint="eastAsia" w:ascii="仿宋" w:hAnsi="仿宋" w:eastAsia="仿宋" w:cs="宋体"/>
                <w:sz w:val="22"/>
                <w:szCs w:val="22"/>
              </w:rPr>
              <w:t>分，共</w:t>
            </w:r>
            <w:r>
              <w:rPr>
                <w:rFonts w:hint="eastAsia" w:ascii="仿宋" w:hAnsi="仿宋" w:eastAsia="仿宋" w:cs="宋体"/>
                <w:sz w:val="22"/>
                <w:szCs w:val="22"/>
                <w:lang w:val="en-US" w:eastAsia="zh-CN"/>
              </w:rPr>
              <w:t>6</w:t>
            </w:r>
            <w:r>
              <w:rPr>
                <w:rFonts w:hint="eastAsia" w:ascii="仿宋" w:hAnsi="仿宋" w:eastAsia="仿宋" w:cs="宋体"/>
                <w:sz w:val="22"/>
                <w:szCs w:val="22"/>
              </w:rPr>
              <w:t>项，共计1</w:t>
            </w:r>
            <w:r>
              <w:rPr>
                <w:rFonts w:hint="eastAsia" w:ascii="仿宋" w:hAnsi="仿宋" w:eastAsia="仿宋" w:cs="宋体"/>
                <w:sz w:val="22"/>
                <w:szCs w:val="22"/>
                <w:lang w:val="en-US" w:eastAsia="zh-CN"/>
              </w:rPr>
              <w:t>8</w:t>
            </w:r>
            <w:r>
              <w:rPr>
                <w:rFonts w:hint="eastAsia" w:ascii="仿宋" w:hAnsi="仿宋" w:eastAsia="仿宋" w:cs="宋体"/>
                <w:sz w:val="22"/>
                <w:szCs w:val="22"/>
              </w:rPr>
              <w:t>分。</w:t>
            </w:r>
          </w:p>
          <w:p>
            <w:pPr>
              <w:adjustRightInd w:val="0"/>
              <w:snapToGrid w:val="0"/>
              <w:spacing w:line="240" w:lineRule="auto"/>
              <w:ind w:firstLine="440" w:firstLineChars="200"/>
              <w:rPr>
                <w:rFonts w:ascii="仿宋" w:hAnsi="仿宋" w:eastAsia="仿宋" w:cs="宋体"/>
                <w:sz w:val="22"/>
                <w:szCs w:val="22"/>
              </w:rPr>
            </w:pPr>
            <w:r>
              <w:rPr>
                <w:rFonts w:hint="eastAsia" w:ascii="仿宋" w:hAnsi="仿宋" w:eastAsia="仿宋" w:cs="宋体"/>
                <w:sz w:val="22"/>
                <w:szCs w:val="22"/>
              </w:rPr>
              <w:t>2、未标注“▲”条款的，每满足或优于一项指标，得2</w:t>
            </w:r>
            <w:r>
              <w:rPr>
                <w:rFonts w:hint="eastAsia" w:ascii="仿宋" w:hAnsi="仿宋" w:eastAsia="仿宋" w:cs="宋体"/>
                <w:sz w:val="22"/>
                <w:szCs w:val="22"/>
                <w:lang w:val="en-US" w:eastAsia="zh-CN"/>
              </w:rPr>
              <w:t>.25</w:t>
            </w:r>
            <w:r>
              <w:rPr>
                <w:rFonts w:hint="eastAsia" w:ascii="仿宋" w:hAnsi="仿宋" w:eastAsia="仿宋" w:cs="宋体"/>
                <w:sz w:val="22"/>
                <w:szCs w:val="22"/>
              </w:rPr>
              <w:t>分，共1</w:t>
            </w:r>
            <w:r>
              <w:rPr>
                <w:rFonts w:hint="eastAsia" w:ascii="仿宋" w:hAnsi="仿宋" w:eastAsia="仿宋" w:cs="宋体"/>
                <w:sz w:val="22"/>
                <w:szCs w:val="22"/>
                <w:lang w:val="en-US" w:eastAsia="zh-CN"/>
              </w:rPr>
              <w:t>2</w:t>
            </w:r>
            <w:r>
              <w:rPr>
                <w:rFonts w:hint="eastAsia" w:ascii="仿宋" w:hAnsi="仿宋" w:eastAsia="仿宋" w:cs="宋体"/>
                <w:sz w:val="22"/>
                <w:szCs w:val="22"/>
              </w:rPr>
              <w:t>项，共计</w:t>
            </w:r>
            <w:r>
              <w:rPr>
                <w:rFonts w:hint="eastAsia" w:ascii="仿宋" w:hAnsi="仿宋" w:eastAsia="仿宋" w:cs="宋体"/>
                <w:sz w:val="22"/>
                <w:szCs w:val="22"/>
                <w:lang w:val="en-US" w:eastAsia="zh-CN"/>
              </w:rPr>
              <w:t>27</w:t>
            </w:r>
            <w:bookmarkStart w:id="0" w:name="_GoBack"/>
            <w:bookmarkEnd w:id="0"/>
            <w:r>
              <w:rPr>
                <w:rFonts w:hint="eastAsia" w:ascii="仿宋" w:hAnsi="仿宋" w:eastAsia="仿宋" w:cs="宋体"/>
                <w:sz w:val="22"/>
                <w:szCs w:val="22"/>
              </w:rPr>
              <w:t>分。</w:t>
            </w:r>
          </w:p>
          <w:p>
            <w:pPr>
              <w:adjustRightInd w:val="0"/>
              <w:snapToGrid w:val="0"/>
              <w:spacing w:line="240" w:lineRule="auto"/>
              <w:ind w:firstLine="440" w:firstLineChars="200"/>
              <w:rPr>
                <w:rFonts w:ascii="仿宋" w:hAnsi="仿宋" w:eastAsia="仿宋" w:cs="宋体"/>
                <w:sz w:val="22"/>
                <w:szCs w:val="22"/>
              </w:rPr>
            </w:pPr>
            <w:r>
              <w:rPr>
                <w:rFonts w:hint="eastAsia" w:ascii="仿宋" w:hAnsi="仿宋" w:eastAsia="仿宋" w:cs="宋体"/>
                <w:sz w:val="22"/>
                <w:szCs w:val="22"/>
              </w:rPr>
              <w:t>3、以上标注“▲”的条款需提供产品彩页或功能截图或检测报告等相关证明材料进行查验，非“▲”号标记根据技术参数中参数偏差表中的内容进行评审，如出现对相同技术指标的说明不一致，均视为无效技术支持资料。</w:t>
            </w:r>
          </w:p>
        </w:tc>
        <w:tc>
          <w:tcPr>
            <w:tcW w:w="380" w:type="pct"/>
            <w:shd w:val="clear" w:color="auto" w:fill="auto"/>
            <w:vAlign w:val="center"/>
          </w:tcPr>
          <w:p>
            <w:pPr>
              <w:adjustRightInd w:val="0"/>
              <w:snapToGrid w:val="0"/>
              <w:spacing w:line="240" w:lineRule="auto"/>
              <w:ind w:firstLine="0" w:firstLineChars="0"/>
              <w:jc w:val="center"/>
              <w:rPr>
                <w:rFonts w:hint="default" w:ascii="仿宋" w:hAnsi="仿宋" w:eastAsia="仿宋" w:cs="宋体"/>
                <w:kern w:val="0"/>
                <w:sz w:val="22"/>
                <w:szCs w:val="22"/>
                <w:lang w:val="en-US" w:eastAsia="zh-CN"/>
              </w:rPr>
            </w:pPr>
            <w:r>
              <w:rPr>
                <w:rFonts w:hint="eastAsia" w:ascii="仿宋" w:hAnsi="仿宋" w:eastAsia="仿宋" w:cs="宋体"/>
                <w:kern w:val="0"/>
                <w:sz w:val="22"/>
                <w:szCs w:val="22"/>
                <w:lang w:val="en-US" w:eastAsia="zh-CN"/>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38" w:hRule="atLeast"/>
        </w:trPr>
        <w:tc>
          <w:tcPr>
            <w:tcW w:w="336" w:type="pct"/>
            <w:shd w:val="clear" w:color="auto" w:fill="auto"/>
            <w:vAlign w:val="center"/>
          </w:tcPr>
          <w:p>
            <w:pPr>
              <w:adjustRightInd w:val="0"/>
              <w:snapToGrid w:val="0"/>
              <w:spacing w:line="240" w:lineRule="auto"/>
              <w:ind w:firstLine="0" w:firstLineChars="0"/>
              <w:jc w:val="center"/>
              <w:rPr>
                <w:rFonts w:hint="eastAsia" w:ascii="仿宋" w:hAnsi="仿宋" w:eastAsia="仿宋" w:cs="宋体"/>
                <w:sz w:val="22"/>
                <w:szCs w:val="22"/>
                <w:lang w:val="en-US" w:eastAsia="zh-CN"/>
              </w:rPr>
            </w:pPr>
            <w:r>
              <w:rPr>
                <w:rFonts w:hint="eastAsia" w:ascii="仿宋" w:hAnsi="仿宋" w:eastAsia="仿宋" w:cs="宋体"/>
                <w:sz w:val="22"/>
                <w:szCs w:val="22"/>
                <w:lang w:val="en-US" w:eastAsia="zh-CN"/>
              </w:rPr>
              <w:t>4</w:t>
            </w:r>
          </w:p>
        </w:tc>
        <w:tc>
          <w:tcPr>
            <w:tcW w:w="681" w:type="pct"/>
            <w:shd w:val="clear" w:color="auto" w:fill="auto"/>
            <w:vAlign w:val="center"/>
          </w:tcPr>
          <w:p>
            <w:pPr>
              <w:adjustRightInd w:val="0"/>
              <w:snapToGrid w:val="0"/>
              <w:spacing w:line="240" w:lineRule="auto"/>
              <w:ind w:firstLine="0" w:firstLineChars="0"/>
              <w:rPr>
                <w:rFonts w:hint="eastAsia" w:ascii="仿宋" w:hAnsi="仿宋" w:eastAsia="仿宋" w:cs="宋体"/>
                <w:sz w:val="22"/>
                <w:szCs w:val="22"/>
              </w:rPr>
            </w:pPr>
            <w:r>
              <w:rPr>
                <w:rFonts w:hint="eastAsia" w:ascii="宋体" w:hAnsi="宋体" w:cs="宋体"/>
                <w:sz w:val="22"/>
                <w:szCs w:val="22"/>
              </w:rPr>
              <w:t>所投产品实力</w:t>
            </w:r>
          </w:p>
        </w:tc>
        <w:tc>
          <w:tcPr>
            <w:tcW w:w="3601" w:type="pct"/>
            <w:shd w:val="clear" w:color="auto" w:fill="auto"/>
            <w:vAlign w:val="center"/>
          </w:tcPr>
          <w:p>
            <w:pPr>
              <w:adjustRightInd w:val="0"/>
              <w:snapToGrid w:val="0"/>
              <w:spacing w:line="240" w:lineRule="auto"/>
              <w:ind w:firstLine="440" w:firstLineChars="200"/>
              <w:rPr>
                <w:rFonts w:hint="eastAsia" w:ascii="仿宋" w:hAnsi="仿宋" w:eastAsia="仿宋" w:cs="宋体"/>
                <w:sz w:val="22"/>
                <w:szCs w:val="22"/>
              </w:rPr>
            </w:pPr>
            <w:r>
              <w:rPr>
                <w:rFonts w:hint="eastAsia" w:ascii="仿宋" w:hAnsi="仿宋" w:eastAsia="仿宋" w:cs="宋体"/>
                <w:sz w:val="22"/>
                <w:szCs w:val="22"/>
              </w:rPr>
              <w:t>1、为保障本次预采购的防毒墙具备一定防护能力，要求所投产品具备IT产品信息安全认证证书，提供有效证书复印件。</w:t>
            </w:r>
          </w:p>
          <w:p>
            <w:pPr>
              <w:adjustRightInd w:val="0"/>
              <w:snapToGrid w:val="0"/>
              <w:spacing w:line="240" w:lineRule="auto"/>
              <w:ind w:firstLine="440" w:firstLineChars="200"/>
              <w:rPr>
                <w:rFonts w:hint="eastAsia" w:ascii="仿宋" w:hAnsi="仿宋" w:eastAsia="仿宋" w:cs="宋体"/>
                <w:sz w:val="22"/>
                <w:szCs w:val="22"/>
              </w:rPr>
            </w:pPr>
            <w:r>
              <w:rPr>
                <w:rFonts w:hint="eastAsia" w:ascii="仿宋" w:hAnsi="仿宋" w:eastAsia="仿宋" w:cs="宋体"/>
                <w:sz w:val="22"/>
                <w:szCs w:val="22"/>
              </w:rPr>
              <w:t>2、为保障产品使用有效性，产品厂商需为国家信息安全漏洞共享平台CNVD技术组和用户组成员，提供CNVD官网截图证明或证书复印件。</w:t>
            </w:r>
          </w:p>
          <w:p>
            <w:pPr>
              <w:adjustRightInd w:val="0"/>
              <w:snapToGrid w:val="0"/>
              <w:spacing w:line="240" w:lineRule="auto"/>
              <w:ind w:firstLine="0" w:firstLineChars="0"/>
              <w:rPr>
                <w:rFonts w:hint="eastAsia" w:ascii="仿宋" w:hAnsi="仿宋" w:eastAsia="仿宋" w:cs="宋体"/>
                <w:sz w:val="22"/>
                <w:szCs w:val="22"/>
              </w:rPr>
            </w:pPr>
            <w:r>
              <w:rPr>
                <w:rFonts w:hint="eastAsia" w:ascii="仿宋" w:hAnsi="仿宋" w:eastAsia="仿宋" w:cs="宋体"/>
                <w:sz w:val="22"/>
                <w:szCs w:val="22"/>
              </w:rPr>
              <w:t>每提供一个证明材料得2</w:t>
            </w:r>
            <w:r>
              <w:rPr>
                <w:rFonts w:hint="eastAsia" w:ascii="仿宋" w:hAnsi="仿宋" w:eastAsia="仿宋" w:cs="宋体"/>
                <w:sz w:val="22"/>
                <w:szCs w:val="22"/>
                <w:lang w:val="en-US" w:eastAsia="zh-CN"/>
              </w:rPr>
              <w:t>.5</w:t>
            </w:r>
            <w:r>
              <w:rPr>
                <w:rFonts w:hint="eastAsia" w:ascii="仿宋" w:hAnsi="仿宋" w:eastAsia="仿宋" w:cs="宋体"/>
                <w:sz w:val="22"/>
                <w:szCs w:val="22"/>
              </w:rPr>
              <w:t>分，共</w:t>
            </w:r>
            <w:r>
              <w:rPr>
                <w:rFonts w:hint="eastAsia" w:ascii="仿宋" w:hAnsi="仿宋" w:eastAsia="仿宋" w:cs="宋体"/>
                <w:sz w:val="22"/>
                <w:szCs w:val="22"/>
                <w:lang w:val="en-US" w:eastAsia="zh-CN"/>
              </w:rPr>
              <w:t>5</w:t>
            </w:r>
            <w:r>
              <w:rPr>
                <w:rFonts w:hint="eastAsia" w:ascii="仿宋" w:hAnsi="仿宋" w:eastAsia="仿宋" w:cs="宋体"/>
                <w:sz w:val="22"/>
                <w:szCs w:val="22"/>
              </w:rPr>
              <w:t>分。</w:t>
            </w:r>
          </w:p>
        </w:tc>
        <w:tc>
          <w:tcPr>
            <w:tcW w:w="380" w:type="pct"/>
            <w:shd w:val="clear" w:color="auto" w:fill="auto"/>
            <w:vAlign w:val="center"/>
          </w:tcPr>
          <w:p>
            <w:pPr>
              <w:adjustRightInd w:val="0"/>
              <w:snapToGrid w:val="0"/>
              <w:spacing w:line="240" w:lineRule="auto"/>
              <w:ind w:firstLine="0" w:firstLineChars="0"/>
              <w:jc w:val="center"/>
              <w:rPr>
                <w:rFonts w:hint="eastAsia" w:ascii="仿宋" w:hAnsi="仿宋" w:eastAsia="仿宋" w:cs="宋体"/>
                <w:sz w:val="22"/>
                <w:szCs w:val="22"/>
                <w:lang w:val="en-US" w:eastAsia="zh-CN"/>
              </w:rPr>
            </w:pPr>
            <w:r>
              <w:rPr>
                <w:rFonts w:hint="eastAsia" w:ascii="仿宋" w:hAnsi="仿宋" w:eastAsia="仿宋" w:cs="宋体"/>
                <w:sz w:val="22"/>
                <w:szCs w:val="22"/>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3" w:hRule="atLeast"/>
        </w:trPr>
        <w:tc>
          <w:tcPr>
            <w:tcW w:w="336" w:type="pct"/>
            <w:shd w:val="clear" w:color="auto" w:fill="auto"/>
            <w:vAlign w:val="center"/>
          </w:tcPr>
          <w:p>
            <w:pPr>
              <w:adjustRightInd w:val="0"/>
              <w:snapToGrid w:val="0"/>
              <w:spacing w:line="240" w:lineRule="auto"/>
              <w:ind w:firstLine="0" w:firstLineChars="0"/>
              <w:jc w:val="center"/>
              <w:rPr>
                <w:rFonts w:hint="eastAsia" w:ascii="仿宋" w:hAnsi="仿宋" w:eastAsia="仿宋" w:cs="宋体"/>
                <w:sz w:val="22"/>
                <w:szCs w:val="22"/>
                <w:lang w:eastAsia="zh-CN"/>
              </w:rPr>
            </w:pPr>
            <w:r>
              <w:rPr>
                <w:rFonts w:hint="eastAsia" w:ascii="仿宋" w:hAnsi="仿宋" w:eastAsia="仿宋" w:cs="宋体"/>
                <w:sz w:val="22"/>
                <w:szCs w:val="22"/>
                <w:lang w:val="en-US" w:eastAsia="zh-CN"/>
              </w:rPr>
              <w:t>5</w:t>
            </w:r>
          </w:p>
        </w:tc>
        <w:tc>
          <w:tcPr>
            <w:tcW w:w="681" w:type="pct"/>
            <w:shd w:val="clear" w:color="auto" w:fill="auto"/>
            <w:vAlign w:val="center"/>
          </w:tcPr>
          <w:p>
            <w:pPr>
              <w:adjustRightInd w:val="0"/>
              <w:snapToGrid w:val="0"/>
              <w:spacing w:line="240" w:lineRule="auto"/>
              <w:ind w:firstLine="0" w:firstLineChars="0"/>
              <w:rPr>
                <w:rFonts w:hint="eastAsia" w:ascii="仿宋" w:hAnsi="仿宋" w:eastAsia="仿宋" w:cs="宋体"/>
                <w:sz w:val="22"/>
                <w:szCs w:val="22"/>
              </w:rPr>
            </w:pPr>
            <w:r>
              <w:rPr>
                <w:rFonts w:hint="eastAsia" w:ascii="仿宋" w:hAnsi="仿宋" w:eastAsia="仿宋" w:cs="宋体"/>
                <w:sz w:val="22"/>
                <w:szCs w:val="22"/>
              </w:rPr>
              <w:t>项目实施方案和售后服务方案</w:t>
            </w:r>
          </w:p>
        </w:tc>
        <w:tc>
          <w:tcPr>
            <w:tcW w:w="3601" w:type="pct"/>
            <w:shd w:val="clear" w:color="auto" w:fill="auto"/>
            <w:vAlign w:val="center"/>
          </w:tcPr>
          <w:p>
            <w:pPr>
              <w:adjustRightInd w:val="0"/>
              <w:snapToGrid w:val="0"/>
              <w:spacing w:line="240" w:lineRule="auto"/>
              <w:ind w:firstLine="440" w:firstLineChars="200"/>
              <w:rPr>
                <w:rFonts w:hint="eastAsia" w:ascii="仿宋" w:hAnsi="仿宋" w:eastAsia="仿宋" w:cs="宋体"/>
                <w:sz w:val="22"/>
                <w:szCs w:val="22"/>
              </w:rPr>
            </w:pPr>
            <w:r>
              <w:rPr>
                <w:rFonts w:hint="eastAsia" w:ascii="仿宋" w:hAnsi="仿宋" w:eastAsia="仿宋" w:cs="宋体"/>
                <w:sz w:val="22"/>
                <w:szCs w:val="22"/>
              </w:rPr>
              <w:t>根据投标人提供的项目实施方案，包括安装、调试、验收方案、培训方案、售后服务方案等，由专家进行综合评价。</w:t>
            </w:r>
          </w:p>
          <w:p>
            <w:pPr>
              <w:adjustRightInd w:val="0"/>
              <w:snapToGrid w:val="0"/>
              <w:spacing w:line="240" w:lineRule="auto"/>
              <w:ind w:firstLine="440" w:firstLineChars="200"/>
              <w:rPr>
                <w:rFonts w:hint="eastAsia" w:ascii="仿宋" w:hAnsi="仿宋" w:eastAsia="仿宋" w:cs="宋体"/>
                <w:sz w:val="22"/>
                <w:szCs w:val="22"/>
              </w:rPr>
            </w:pPr>
            <w:r>
              <w:rPr>
                <w:rFonts w:hint="eastAsia" w:ascii="仿宋" w:hAnsi="仿宋" w:eastAsia="仿宋" w:cs="宋体"/>
                <w:sz w:val="22"/>
                <w:szCs w:val="22"/>
              </w:rPr>
              <w:t>1、每一项内容进行了阐述且完全满足采购需求的，得10.1-15分。</w:t>
            </w:r>
          </w:p>
          <w:p>
            <w:pPr>
              <w:adjustRightInd w:val="0"/>
              <w:snapToGrid w:val="0"/>
              <w:spacing w:line="240" w:lineRule="auto"/>
              <w:ind w:firstLine="440" w:firstLineChars="200"/>
              <w:rPr>
                <w:rFonts w:hint="eastAsia" w:ascii="仿宋" w:hAnsi="仿宋" w:eastAsia="仿宋" w:cs="宋体"/>
                <w:sz w:val="22"/>
                <w:szCs w:val="22"/>
              </w:rPr>
            </w:pPr>
            <w:r>
              <w:rPr>
                <w:rFonts w:hint="eastAsia" w:ascii="仿宋" w:hAnsi="仿宋" w:eastAsia="仿宋" w:cs="宋体"/>
                <w:sz w:val="22"/>
                <w:szCs w:val="22"/>
              </w:rPr>
              <w:t>2、每一项内容虽然进行了阐述但并未完全贴合采购需求的，得5.1-10分。</w:t>
            </w:r>
          </w:p>
          <w:p>
            <w:pPr>
              <w:adjustRightInd w:val="0"/>
              <w:snapToGrid w:val="0"/>
              <w:spacing w:line="240" w:lineRule="auto"/>
              <w:ind w:firstLine="440" w:firstLineChars="200"/>
              <w:rPr>
                <w:rFonts w:hint="eastAsia" w:ascii="仿宋" w:hAnsi="仿宋" w:eastAsia="仿宋" w:cs="宋体"/>
                <w:sz w:val="22"/>
                <w:szCs w:val="22"/>
              </w:rPr>
            </w:pPr>
            <w:r>
              <w:rPr>
                <w:rFonts w:hint="eastAsia" w:ascii="仿宋" w:hAnsi="仿宋" w:eastAsia="仿宋" w:cs="宋体"/>
                <w:sz w:val="22"/>
                <w:szCs w:val="22"/>
              </w:rPr>
              <w:t>3、每一项内容未进行阐述或阐述内容无法满足采购需求，得0-5分。</w:t>
            </w:r>
          </w:p>
        </w:tc>
        <w:tc>
          <w:tcPr>
            <w:tcW w:w="380" w:type="pct"/>
            <w:shd w:val="clear" w:color="auto" w:fill="auto"/>
            <w:vAlign w:val="center"/>
          </w:tcPr>
          <w:p>
            <w:pPr>
              <w:adjustRightInd w:val="0"/>
              <w:snapToGrid w:val="0"/>
              <w:spacing w:line="240" w:lineRule="auto"/>
              <w:ind w:firstLine="0" w:firstLineChars="0"/>
              <w:jc w:val="center"/>
              <w:rPr>
                <w:rFonts w:hint="default" w:ascii="仿宋" w:hAnsi="仿宋" w:eastAsia="仿宋" w:cs="宋体"/>
                <w:kern w:val="0"/>
                <w:sz w:val="22"/>
                <w:szCs w:val="22"/>
                <w:lang w:val="en-US" w:eastAsia="zh-CN"/>
              </w:rPr>
            </w:pPr>
            <w:r>
              <w:rPr>
                <w:rFonts w:hint="eastAsia" w:ascii="仿宋" w:hAnsi="仿宋" w:eastAsia="仿宋" w:cs="宋体"/>
                <w:kern w:val="0"/>
                <w:sz w:val="22"/>
                <w:szCs w:val="22"/>
                <w:lang w:val="en-US" w:eastAsia="zh-C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 w:hRule="atLeast"/>
        </w:trPr>
        <w:tc>
          <w:tcPr>
            <w:tcW w:w="4619" w:type="pct"/>
            <w:gridSpan w:val="3"/>
            <w:shd w:val="clear" w:color="auto" w:fill="auto"/>
            <w:vAlign w:val="center"/>
          </w:tcPr>
          <w:p>
            <w:pPr>
              <w:widowControl/>
              <w:adjustRightInd w:val="0"/>
              <w:snapToGrid w:val="0"/>
              <w:spacing w:line="240" w:lineRule="auto"/>
              <w:ind w:firstLine="0" w:firstLineChars="0"/>
              <w:jc w:val="center"/>
              <w:rPr>
                <w:rFonts w:ascii="仿宋" w:hAnsi="仿宋" w:eastAsia="仿宋" w:cs="宋体"/>
                <w:b/>
                <w:sz w:val="22"/>
                <w:szCs w:val="22"/>
              </w:rPr>
            </w:pPr>
            <w:r>
              <w:rPr>
                <w:rFonts w:hint="eastAsia" w:ascii="仿宋" w:hAnsi="仿宋" w:eastAsia="仿宋" w:cs="宋体"/>
                <w:b/>
                <w:sz w:val="22"/>
                <w:szCs w:val="22"/>
                <w:lang w:val="zh-CN"/>
              </w:rPr>
              <w:t>合计</w:t>
            </w:r>
          </w:p>
        </w:tc>
        <w:tc>
          <w:tcPr>
            <w:tcW w:w="380" w:type="pct"/>
            <w:shd w:val="clear" w:color="auto" w:fill="auto"/>
            <w:vAlign w:val="center"/>
          </w:tcPr>
          <w:p>
            <w:pPr>
              <w:adjustRightInd w:val="0"/>
              <w:snapToGrid w:val="0"/>
              <w:spacing w:line="240" w:lineRule="auto"/>
              <w:ind w:firstLine="0" w:firstLineChars="0"/>
              <w:jc w:val="center"/>
              <w:rPr>
                <w:rFonts w:ascii="仿宋" w:hAnsi="仿宋" w:eastAsia="仿宋" w:cs="宋体"/>
                <w:b/>
                <w:sz w:val="22"/>
                <w:szCs w:val="22"/>
              </w:rPr>
            </w:pPr>
            <w:r>
              <w:rPr>
                <w:rFonts w:hint="eastAsia" w:ascii="仿宋" w:hAnsi="仿宋" w:eastAsia="仿宋" w:cs="宋体"/>
                <w:b/>
                <w:sz w:val="22"/>
                <w:szCs w:val="22"/>
              </w:rPr>
              <w:t>100</w:t>
            </w:r>
          </w:p>
        </w:tc>
      </w:tr>
    </w:tbl>
    <w:p>
      <w:pPr>
        <w:ind w:left="0" w:leftChars="0" w:firstLine="0" w:firstLineChars="0"/>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华文仿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560"/>
      </w:pPr>
      <w:r>
        <w:separator/>
      </w:r>
    </w:p>
  </w:footnote>
  <w:footnote w:type="continuationSeparator" w:id="1">
    <w:p>
      <w:pPr>
        <w:spacing w:line="360" w:lineRule="auto"/>
        <w:ind w:firstLine="56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M4NjllMjMwYTI3YTcyYTI2MjNlMjI3YzQ4MGZmY2UifQ=="/>
  </w:docVars>
  <w:rsids>
    <w:rsidRoot w:val="37417F4D"/>
    <w:rsid w:val="03B24C65"/>
    <w:rsid w:val="04441D61"/>
    <w:rsid w:val="096E7880"/>
    <w:rsid w:val="0A951C25"/>
    <w:rsid w:val="0DB35682"/>
    <w:rsid w:val="0EC31D85"/>
    <w:rsid w:val="123A29F6"/>
    <w:rsid w:val="12993BC0"/>
    <w:rsid w:val="142F2A6F"/>
    <w:rsid w:val="159030E8"/>
    <w:rsid w:val="15C941A9"/>
    <w:rsid w:val="15E74C42"/>
    <w:rsid w:val="177B7F9C"/>
    <w:rsid w:val="18B96041"/>
    <w:rsid w:val="18BD6589"/>
    <w:rsid w:val="1A3911B5"/>
    <w:rsid w:val="1B91134D"/>
    <w:rsid w:val="1C486913"/>
    <w:rsid w:val="1D745EE6"/>
    <w:rsid w:val="1D9C4207"/>
    <w:rsid w:val="1DF36A2E"/>
    <w:rsid w:val="1F843502"/>
    <w:rsid w:val="25715E4D"/>
    <w:rsid w:val="25C2684C"/>
    <w:rsid w:val="25DB0430"/>
    <w:rsid w:val="26964247"/>
    <w:rsid w:val="2AFE098F"/>
    <w:rsid w:val="2BD0298D"/>
    <w:rsid w:val="2C5865F5"/>
    <w:rsid w:val="2CBC252D"/>
    <w:rsid w:val="2D7C5689"/>
    <w:rsid w:val="2E255EB0"/>
    <w:rsid w:val="2EC6416D"/>
    <w:rsid w:val="2F133D3D"/>
    <w:rsid w:val="2FF10740"/>
    <w:rsid w:val="307A3104"/>
    <w:rsid w:val="32073B23"/>
    <w:rsid w:val="32B32035"/>
    <w:rsid w:val="3422222F"/>
    <w:rsid w:val="34AC10D9"/>
    <w:rsid w:val="354237EC"/>
    <w:rsid w:val="357D65D2"/>
    <w:rsid w:val="362178A5"/>
    <w:rsid w:val="367A0579"/>
    <w:rsid w:val="36F249C1"/>
    <w:rsid w:val="37166CDE"/>
    <w:rsid w:val="37417F4D"/>
    <w:rsid w:val="394538AA"/>
    <w:rsid w:val="3A0E3697"/>
    <w:rsid w:val="3A306505"/>
    <w:rsid w:val="3B2309F2"/>
    <w:rsid w:val="3E79027E"/>
    <w:rsid w:val="44DD0E3B"/>
    <w:rsid w:val="482A213A"/>
    <w:rsid w:val="4A4B0101"/>
    <w:rsid w:val="4D043409"/>
    <w:rsid w:val="4D795C2E"/>
    <w:rsid w:val="4DB1031F"/>
    <w:rsid w:val="4DB50BA7"/>
    <w:rsid w:val="4EE259CC"/>
    <w:rsid w:val="50B129D4"/>
    <w:rsid w:val="53C12719"/>
    <w:rsid w:val="542B3971"/>
    <w:rsid w:val="549D486C"/>
    <w:rsid w:val="56D82D87"/>
    <w:rsid w:val="5891283B"/>
    <w:rsid w:val="593132EC"/>
    <w:rsid w:val="5C1D2D36"/>
    <w:rsid w:val="5E912F6A"/>
    <w:rsid w:val="5FB707AE"/>
    <w:rsid w:val="5FFD7DE8"/>
    <w:rsid w:val="60B56E9E"/>
    <w:rsid w:val="62A0335F"/>
    <w:rsid w:val="630B6593"/>
    <w:rsid w:val="64402D87"/>
    <w:rsid w:val="662048D8"/>
    <w:rsid w:val="6794698A"/>
    <w:rsid w:val="681D761D"/>
    <w:rsid w:val="690643FC"/>
    <w:rsid w:val="69F36887"/>
    <w:rsid w:val="6A13272C"/>
    <w:rsid w:val="6B8579B3"/>
    <w:rsid w:val="6E1F40EF"/>
    <w:rsid w:val="6E69536A"/>
    <w:rsid w:val="6E76024F"/>
    <w:rsid w:val="6F1113E0"/>
    <w:rsid w:val="70F96E79"/>
    <w:rsid w:val="712832BA"/>
    <w:rsid w:val="717958C4"/>
    <w:rsid w:val="728D72D4"/>
    <w:rsid w:val="73DC4119"/>
    <w:rsid w:val="741D2628"/>
    <w:rsid w:val="744114FF"/>
    <w:rsid w:val="747304B8"/>
    <w:rsid w:val="749C30D5"/>
    <w:rsid w:val="78216CB5"/>
    <w:rsid w:val="7A8F657C"/>
    <w:rsid w:val="7ADB4D39"/>
    <w:rsid w:val="7C763BF7"/>
    <w:rsid w:val="7F6A78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ind w:firstLine="200" w:firstLineChars="200"/>
      <w:jc w:val="both"/>
    </w:pPr>
    <w:rPr>
      <w:rFonts w:eastAsia="华文仿宋" w:asciiTheme="minorHAnsi" w:hAnsiTheme="minorHAnsi" w:cstheme="minorBidi"/>
      <w:kern w:val="2"/>
      <w:sz w:val="28"/>
      <w:szCs w:val="22"/>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1"/>
    <w:pPr>
      <w:adjustRightInd w:val="0"/>
      <w:jc w:val="left"/>
    </w:pPr>
    <w:rPr>
      <w:rFonts w:hAnsi="宋体"/>
      <w:lang w:eastAsia="en-U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2023-10-17T02:31:00Z</dcterms:created>
  <dc:creator>无聊的老H</dc:creator>
  <cp:lastModifiedBy>无聊的老H</cp:lastModifiedBy>
  <dcterms:modified xsi:type="dcterms:W3CDTF">2023-11-21T02:16:32Z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943F18FF89BF4D12BAB98C6859EE10C5_11</vt:lpwstr>
  </property>
</Properties>
</file>