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30B4C">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1518E819">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4E5035B2">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val="en-US" w:eastAsia="zh-CN"/>
        </w:rPr>
      </w:pPr>
      <w:bookmarkStart w:id="0" w:name="_Hlk9544796"/>
      <w:r>
        <w:rPr>
          <w:rFonts w:hint="eastAsia" w:ascii="宋体" w:hAnsi="宋体" w:eastAsia="宋体" w:cs="宋体"/>
          <w:b/>
          <w:bCs/>
          <w:color w:val="auto"/>
          <w:sz w:val="52"/>
          <w:szCs w:val="52"/>
          <w:highlight w:val="none"/>
          <w:lang w:val="en-US" w:eastAsia="zh-CN"/>
        </w:rPr>
        <w:t>安徽省</w:t>
      </w:r>
      <w:r>
        <w:rPr>
          <w:rFonts w:hint="eastAsia" w:ascii="宋体" w:hAnsi="宋体" w:eastAsia="宋体" w:cs="宋体"/>
          <w:b/>
          <w:bCs/>
          <w:color w:val="auto"/>
          <w:sz w:val="52"/>
          <w:szCs w:val="52"/>
          <w:highlight w:val="none"/>
        </w:rPr>
        <w:t>政府采购</w:t>
      </w:r>
      <w:r>
        <w:rPr>
          <w:rFonts w:hint="eastAsia" w:ascii="宋体" w:hAnsi="宋体" w:eastAsia="宋体" w:cs="宋体"/>
          <w:b/>
          <w:bCs/>
          <w:color w:val="auto"/>
          <w:sz w:val="52"/>
          <w:szCs w:val="52"/>
          <w:highlight w:val="none"/>
          <w:lang w:eastAsia="zh-CN"/>
        </w:rPr>
        <w:t>项目</w:t>
      </w:r>
    </w:p>
    <w:p w14:paraId="427DEDC1">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服务类</w:t>
      </w:r>
      <w:r>
        <w:rPr>
          <w:rFonts w:hint="eastAsia" w:ascii="宋体" w:hAnsi="宋体" w:eastAsia="宋体" w:cs="宋体"/>
          <w:b/>
          <w:bCs/>
          <w:color w:val="auto"/>
          <w:sz w:val="52"/>
          <w:szCs w:val="52"/>
          <w:highlight w:val="none"/>
          <w:lang w:eastAsia="zh-CN"/>
        </w:rPr>
        <w:t>）</w:t>
      </w:r>
    </w:p>
    <w:p w14:paraId="19E9AE6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2024年版</w:t>
      </w:r>
      <w:r>
        <w:rPr>
          <w:rFonts w:hint="eastAsia" w:ascii="宋体" w:hAnsi="宋体" w:eastAsia="宋体" w:cs="宋体"/>
          <w:b/>
          <w:bCs/>
          <w:color w:val="auto"/>
          <w:sz w:val="52"/>
          <w:szCs w:val="52"/>
          <w:highlight w:val="none"/>
          <w:lang w:eastAsia="zh-CN"/>
        </w:rPr>
        <w:t>）</w:t>
      </w:r>
    </w:p>
    <w:p w14:paraId="2AF50B1F">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4B20C16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3D774C1">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E7F1FB6">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5028967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988345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5CC6333D">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pacing w:val="20"/>
          <w:kern w:val="0"/>
          <w:sz w:val="32"/>
          <w:szCs w:val="32"/>
          <w:highlight w:val="none"/>
        </w:rPr>
        <w:t>项目名称：</w:t>
      </w:r>
      <w:r>
        <w:rPr>
          <w:rFonts w:hint="eastAsia" w:ascii="宋体" w:hAnsi="宋体" w:eastAsia="宋体" w:cs="宋体"/>
          <w:b/>
          <w:color w:val="auto"/>
          <w:spacing w:val="20"/>
          <w:kern w:val="0"/>
          <w:sz w:val="32"/>
          <w:szCs w:val="32"/>
          <w:highlight w:val="none"/>
          <w:u w:val="single"/>
          <w:lang w:eastAsia="zh-CN"/>
        </w:rPr>
        <w:t>滁州市第一人民医院北区扩建项目射线装置环评项目</w:t>
      </w:r>
    </w:p>
    <w:p w14:paraId="6B2E89D0">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32"/>
          <w:szCs w:val="32"/>
          <w:highlight w:val="none"/>
        </w:rPr>
        <w:t>项目编号：</w:t>
      </w:r>
      <w:r>
        <w:rPr>
          <w:rFonts w:hint="eastAsia" w:ascii="宋体" w:hAnsi="宋体" w:eastAsia="宋体" w:cs="宋体"/>
          <w:b/>
          <w:color w:val="auto"/>
          <w:spacing w:val="20"/>
          <w:kern w:val="0"/>
          <w:sz w:val="32"/>
          <w:szCs w:val="32"/>
          <w:highlight w:val="none"/>
          <w:u w:val="single"/>
          <w:lang w:val="en-US" w:eastAsia="zh-CN"/>
        </w:rPr>
        <w:t>CZYY-2025-39</w:t>
      </w:r>
    </w:p>
    <w:p w14:paraId="4CA69ACD">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u w:val="single"/>
          <w:lang w:val="en-US" w:eastAsia="zh-CN"/>
        </w:rPr>
      </w:pPr>
      <w:r>
        <w:rPr>
          <w:rFonts w:hint="eastAsia" w:ascii="宋体" w:hAnsi="宋体" w:eastAsia="宋体" w:cs="宋体"/>
          <w:b/>
          <w:color w:val="auto"/>
          <w:spacing w:val="20"/>
          <w:kern w:val="0"/>
          <w:sz w:val="32"/>
          <w:szCs w:val="32"/>
          <w:highlight w:val="none"/>
        </w:rPr>
        <w:t>采 购 人：</w:t>
      </w:r>
      <w:r>
        <w:rPr>
          <w:rFonts w:hint="eastAsia" w:ascii="宋体" w:hAnsi="宋体" w:eastAsia="宋体" w:cs="宋体"/>
          <w:b/>
          <w:color w:val="auto"/>
          <w:spacing w:val="20"/>
          <w:kern w:val="0"/>
          <w:sz w:val="32"/>
          <w:szCs w:val="32"/>
          <w:highlight w:val="none"/>
          <w:u w:val="single"/>
          <w:lang w:val="en-US" w:eastAsia="zh-CN"/>
        </w:rPr>
        <w:t>滁州市第一人民医院</w:t>
      </w:r>
    </w:p>
    <w:p w14:paraId="288E7DE6">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32"/>
          <w:szCs w:val="32"/>
          <w:highlight w:val="none"/>
        </w:rPr>
        <w:t>采购代理机构：</w:t>
      </w:r>
      <w:r>
        <w:rPr>
          <w:rFonts w:hint="eastAsia" w:ascii="宋体" w:hAnsi="宋体" w:eastAsia="宋体" w:cs="宋体"/>
          <w:b/>
          <w:color w:val="auto"/>
          <w:spacing w:val="20"/>
          <w:kern w:val="0"/>
          <w:sz w:val="32"/>
          <w:szCs w:val="32"/>
          <w:highlight w:val="none"/>
          <w:u w:val="single"/>
          <w:lang w:val="en-US" w:eastAsia="zh-CN"/>
        </w:rPr>
        <w:t>江苏川页工程项目管理有限公司</w:t>
      </w:r>
    </w:p>
    <w:p w14:paraId="78C90C6F">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3459CFA2">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lang w:val="en-US" w:eastAsia="zh-CN"/>
        </w:rPr>
        <w:t>2025</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lang w:val="en-US" w:eastAsia="zh-CN"/>
        </w:rPr>
        <w:t>6</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47D3D4E9">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p>
    <w:p w14:paraId="71BD8D80">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0DEE1B61">
      <w:pPr>
        <w:pStyle w:val="19"/>
        <w:tabs>
          <w:tab w:val="right" w:leader="dot" w:pos="8306"/>
        </w:tabs>
        <w:rPr>
          <w:rFonts w:hint="eastAsia" w:ascii="宋体" w:hAnsi="宋体" w:eastAsia="宋体" w:cs="宋体"/>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_Toc32331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第一章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_Toc32331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5CBD537E">
      <w:pPr>
        <w:pStyle w:val="19"/>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_Toc8888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_Toc8888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EF24320">
      <w:pPr>
        <w:pStyle w:val="19"/>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_Toc22605 </w:instrText>
      </w:r>
      <w:r>
        <w:rPr>
          <w:rFonts w:hint="eastAsia" w:ascii="宋体" w:hAnsi="宋体" w:eastAsia="宋体" w:cs="宋体"/>
          <w:szCs w:val="24"/>
          <w:highlight w:val="none"/>
        </w:rPr>
        <w:fldChar w:fldCharType="separate"/>
      </w:r>
      <w:r>
        <w:rPr>
          <w:rFonts w:hint="eastAsia" w:ascii="宋体" w:hAnsi="宋体" w:eastAsia="宋体" w:cs="宋体"/>
          <w:lang w:eastAsia="zh-CN"/>
        </w:rPr>
        <w:t xml:space="preserve">第三章 </w:t>
      </w:r>
      <w:r>
        <w:rPr>
          <w:rFonts w:hint="eastAsia" w:ascii="宋体" w:hAnsi="宋体" w:eastAsia="宋体" w:cs="宋体"/>
          <w:lang w:val="en-US" w:eastAsia="zh-CN"/>
        </w:rPr>
        <w:t xml:space="preserve"> </w:t>
      </w:r>
      <w:r>
        <w:rPr>
          <w:rFonts w:hint="eastAsia" w:ascii="宋体" w:hAnsi="宋体" w:eastAsia="宋体" w:cs="宋体"/>
          <w:highlight w:val="none"/>
        </w:rPr>
        <w:t>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_Toc22605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3D2FD81E">
      <w:pPr>
        <w:pStyle w:val="19"/>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_Toc3538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第四章  评标方法和标准（最低评标价法）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_Toc3538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3AA81B3B">
      <w:pPr>
        <w:pStyle w:val="19"/>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_Toc20405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第五章  政府采购合同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_Toc20405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444ABE9A">
      <w:pPr>
        <w:pStyle w:val="19"/>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_Toc13555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第六章  投标文件格式</w:t>
      </w:r>
      <w:r>
        <w:rPr>
          <w:rFonts w:hint="eastAsia" w:ascii="宋体" w:hAnsi="宋体" w:eastAsia="宋体" w:cs="宋体"/>
        </w:rPr>
        <w:tab/>
      </w:r>
      <w:r>
        <w:rPr>
          <w:rFonts w:hint="eastAsia" w:ascii="宋体" w:hAnsi="宋体" w:eastAsia="宋体" w:cs="宋体"/>
          <w:lang w:val="en-US" w:eastAsia="zh-CN"/>
        </w:rPr>
        <w:t>29</w:t>
      </w:r>
      <w:r>
        <w:rPr>
          <w:rFonts w:hint="eastAsia" w:ascii="宋体" w:hAnsi="宋体" w:eastAsia="宋体" w:cs="宋体"/>
          <w:color w:val="auto"/>
          <w:szCs w:val="24"/>
          <w:highlight w:val="none"/>
        </w:rPr>
        <w:fldChar w:fldCharType="end"/>
      </w:r>
    </w:p>
    <w:p w14:paraId="3D314C17">
      <w:pPr>
        <w:pStyle w:val="19"/>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_Toc20819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七</w:t>
      </w:r>
      <w:r>
        <w:rPr>
          <w:rFonts w:hint="eastAsia" w:ascii="宋体" w:hAnsi="宋体" w:eastAsia="宋体" w:cs="宋体"/>
          <w:highlight w:val="none"/>
        </w:rPr>
        <w:t>章</w:t>
      </w:r>
      <w:r>
        <w:rPr>
          <w:rFonts w:hint="eastAsia" w:ascii="宋体" w:hAnsi="宋体" w:eastAsia="宋体" w:cs="宋体"/>
          <w:bCs/>
          <w:highlight w:val="none"/>
        </w:rPr>
        <w:t xml:space="preserve">  政府采购</w:t>
      </w:r>
      <w:r>
        <w:rPr>
          <w:rFonts w:hint="eastAsia" w:ascii="宋体" w:hAnsi="宋体" w:eastAsia="宋体" w:cs="宋体"/>
          <w:highlight w:val="none"/>
        </w:rPr>
        <w:t>供应</w:t>
      </w:r>
      <w:r>
        <w:rPr>
          <w:rFonts w:hint="eastAsia" w:ascii="宋体" w:hAnsi="宋体" w:eastAsia="宋体" w:cs="宋体"/>
          <w:bCs/>
          <w:highlight w:val="none"/>
        </w:rPr>
        <w:t>商询问函和质疑函范本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_Toc20819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lang w:val="en-US" w:eastAsia="zh-CN"/>
        </w:rPr>
        <w:t>9</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FFCB92A">
      <w:pPr>
        <w:spacing w:line="360" w:lineRule="auto"/>
        <w:jc w:val="center"/>
        <w:outlineLvl w:val="1"/>
        <w:rPr>
          <w:rFonts w:hint="eastAsia" w:ascii="宋体" w:hAnsi="宋体" w:eastAsia="宋体" w:cs="宋体"/>
          <w:b/>
          <w:color w:val="auto"/>
          <w:sz w:val="28"/>
          <w:highlight w:val="none"/>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color w:val="auto"/>
          <w:szCs w:val="24"/>
          <w:highlight w:val="none"/>
        </w:rPr>
        <w:fldChar w:fldCharType="end"/>
      </w:r>
    </w:p>
    <w:p w14:paraId="0AC2598F">
      <w:pPr>
        <w:numPr>
          <w:ilvl w:val="0"/>
          <w:numId w:val="1"/>
        </w:numPr>
        <w:spacing w:line="360" w:lineRule="auto"/>
        <w:jc w:val="center"/>
        <w:outlineLvl w:val="0"/>
        <w:rPr>
          <w:rFonts w:hint="eastAsia" w:ascii="宋体" w:hAnsi="宋体" w:eastAsia="宋体" w:cs="宋体"/>
          <w:b/>
          <w:color w:val="auto"/>
          <w:sz w:val="28"/>
          <w:highlight w:val="none"/>
        </w:rPr>
      </w:pPr>
      <w:bookmarkStart w:id="1" w:name="_Toc32331"/>
      <w:r>
        <w:rPr>
          <w:rFonts w:hint="eastAsia" w:ascii="宋体" w:hAnsi="宋体" w:eastAsia="宋体" w:cs="宋体"/>
          <w:b/>
          <w:color w:val="auto"/>
          <w:sz w:val="28"/>
          <w:highlight w:val="none"/>
        </w:rPr>
        <w:t xml:space="preserve"> 投标邀请</w:t>
      </w:r>
      <w:bookmarkEnd w:id="1"/>
    </w:p>
    <w:p w14:paraId="1A65579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8379505">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u w:val="single"/>
          <w:lang w:eastAsia="zh-CN"/>
        </w:rPr>
        <w:t>滁州市第一人民医院北区扩建项目射线装置环评项目</w:t>
      </w:r>
      <w:r>
        <w:rPr>
          <w:rFonts w:hint="eastAsia" w:ascii="宋体" w:hAnsi="宋体" w:eastAsia="宋体" w:cs="宋体"/>
          <w:color w:val="auto"/>
          <w:sz w:val="24"/>
          <w:highlight w:val="none"/>
        </w:rPr>
        <w:t>招标的潜在投标人应在</w:t>
      </w:r>
      <w:r>
        <w:rPr>
          <w:rFonts w:hint="eastAsia" w:ascii="宋体" w:hAnsi="宋体" w:eastAsia="宋体" w:cs="宋体"/>
          <w:color w:val="auto"/>
          <w:sz w:val="24"/>
          <w:highlight w:val="none"/>
          <w:u w:val="single"/>
        </w:rPr>
        <w:t>滁州市第一人民医院网（http://www.czdyrmyy.com/）</w:t>
      </w:r>
      <w:r>
        <w:rPr>
          <w:rFonts w:hint="eastAsia" w:ascii="宋体" w:hAnsi="宋体" w:eastAsia="宋体" w:cs="宋体"/>
          <w:color w:val="auto"/>
          <w:sz w:val="24"/>
          <w:highlight w:val="none"/>
        </w:rPr>
        <w:t>获取招标文件，并于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点00分</w:t>
      </w:r>
      <w:r>
        <w:rPr>
          <w:rFonts w:hint="eastAsia" w:ascii="宋体" w:hAnsi="宋体" w:eastAsia="宋体" w:cs="宋体"/>
          <w:color w:val="auto"/>
          <w:sz w:val="24"/>
          <w:highlight w:val="none"/>
        </w:rPr>
        <w:t>（北京时间）前递交投标文件。</w:t>
      </w:r>
    </w:p>
    <w:p w14:paraId="68B3C906">
      <w:pPr>
        <w:spacing w:line="360" w:lineRule="auto"/>
        <w:ind w:firstLine="437"/>
        <w:outlineLvl w:val="1"/>
        <w:rPr>
          <w:rFonts w:hint="eastAsia" w:ascii="宋体" w:hAnsi="宋体" w:eastAsia="宋体" w:cs="宋体"/>
          <w:b/>
          <w:bCs/>
          <w:color w:val="auto"/>
          <w:sz w:val="24"/>
          <w:szCs w:val="18"/>
          <w:highlight w:val="none"/>
        </w:rPr>
      </w:pPr>
      <w:bookmarkStart w:id="2" w:name="_Toc1381"/>
      <w:bookmarkStart w:id="3" w:name="_Toc31518"/>
      <w:r>
        <w:rPr>
          <w:rFonts w:hint="eastAsia" w:ascii="宋体" w:hAnsi="宋体" w:eastAsia="宋体" w:cs="宋体"/>
          <w:b/>
          <w:bCs/>
          <w:color w:val="auto"/>
          <w:sz w:val="24"/>
          <w:szCs w:val="18"/>
          <w:highlight w:val="none"/>
        </w:rPr>
        <w:t>一、</w:t>
      </w:r>
      <w:bookmarkEnd w:id="2"/>
      <w:r>
        <w:rPr>
          <w:rFonts w:hint="eastAsia" w:ascii="宋体" w:hAnsi="宋体" w:eastAsia="宋体" w:cs="宋体"/>
          <w:b/>
          <w:bCs/>
          <w:color w:val="auto"/>
          <w:sz w:val="24"/>
          <w:szCs w:val="18"/>
          <w:highlight w:val="none"/>
        </w:rPr>
        <w:t>项目基本情况</w:t>
      </w:r>
      <w:bookmarkEnd w:id="3"/>
    </w:p>
    <w:p w14:paraId="5430D39F">
      <w:pPr>
        <w:spacing w:line="360" w:lineRule="auto"/>
        <w:ind w:firstLine="435"/>
        <w:rPr>
          <w:rFonts w:hint="eastAsia" w:ascii="宋体" w:hAnsi="宋体" w:eastAsia="宋体" w:cs="宋体"/>
          <w:color w:val="auto"/>
          <w:sz w:val="24"/>
          <w:szCs w:val="18"/>
          <w:highlight w:val="none"/>
          <w:u w:val="none"/>
          <w:lang w:eastAsia="zh-CN"/>
        </w:rPr>
      </w:pPr>
      <w:r>
        <w:rPr>
          <w:rFonts w:hint="eastAsia" w:ascii="宋体" w:hAnsi="宋体" w:eastAsia="宋体" w:cs="宋体"/>
          <w:color w:val="auto"/>
          <w:sz w:val="24"/>
          <w:highlight w:val="none"/>
        </w:rPr>
        <w:t>1.项目编号：</w:t>
      </w:r>
      <w:r>
        <w:rPr>
          <w:rFonts w:hint="eastAsia" w:ascii="宋体" w:hAnsi="宋体" w:eastAsia="宋体" w:cs="宋体"/>
          <w:color w:val="auto"/>
          <w:sz w:val="24"/>
          <w:szCs w:val="18"/>
          <w:highlight w:val="none"/>
          <w:u w:val="none"/>
          <w:lang w:eastAsia="zh-CN"/>
        </w:rPr>
        <w:t>CZYY-2025-39</w:t>
      </w:r>
    </w:p>
    <w:p w14:paraId="676F3F89">
      <w:pPr>
        <w:spacing w:line="360" w:lineRule="auto"/>
        <w:ind w:firstLine="435"/>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2.项目名称：</w:t>
      </w:r>
      <w:r>
        <w:rPr>
          <w:rFonts w:hint="eastAsia" w:ascii="宋体" w:hAnsi="宋体" w:eastAsia="宋体" w:cs="宋体"/>
          <w:color w:val="auto"/>
          <w:sz w:val="24"/>
          <w:szCs w:val="18"/>
          <w:highlight w:val="none"/>
          <w:u w:val="none"/>
          <w:lang w:eastAsia="zh-CN"/>
        </w:rPr>
        <w:t>滁州市第一人民医院北区扩建项目射线装置环评项目</w:t>
      </w:r>
    </w:p>
    <w:p w14:paraId="77CC48C5">
      <w:pPr>
        <w:spacing w:line="360" w:lineRule="auto"/>
        <w:ind w:firstLine="435"/>
        <w:rPr>
          <w:rFonts w:hint="eastAsia" w:ascii="宋体" w:hAnsi="宋体" w:eastAsia="宋体" w:cs="宋体"/>
          <w:color w:val="auto"/>
          <w:sz w:val="24"/>
          <w:szCs w:val="18"/>
          <w:highlight w:val="none"/>
          <w:u w:val="none"/>
        </w:rPr>
      </w:pPr>
      <w:r>
        <w:rPr>
          <w:rFonts w:hint="eastAsia" w:ascii="宋体" w:hAnsi="宋体" w:eastAsia="宋体" w:cs="宋体"/>
          <w:color w:val="auto"/>
          <w:sz w:val="24"/>
          <w:highlight w:val="none"/>
          <w:u w:val="none"/>
        </w:rPr>
        <w:t>3.预算金额：</w:t>
      </w:r>
      <w:r>
        <w:rPr>
          <w:rFonts w:hint="eastAsia" w:ascii="宋体" w:hAnsi="宋体" w:eastAsia="宋体" w:cs="宋体"/>
          <w:color w:val="auto"/>
          <w:sz w:val="24"/>
          <w:szCs w:val="18"/>
          <w:highlight w:val="none"/>
          <w:u w:val="none"/>
          <w:lang w:val="en-US" w:eastAsia="zh-CN"/>
        </w:rPr>
        <w:t>5万</w:t>
      </w:r>
    </w:p>
    <w:p w14:paraId="58D979B7">
      <w:pPr>
        <w:spacing w:line="360" w:lineRule="auto"/>
        <w:ind w:firstLine="435"/>
        <w:rPr>
          <w:rFonts w:hint="eastAsia" w:ascii="宋体" w:hAnsi="宋体" w:eastAsia="宋体" w:cs="宋体"/>
          <w:color w:val="auto"/>
          <w:sz w:val="24"/>
          <w:szCs w:val="18"/>
          <w:highlight w:val="none"/>
          <w:u w:val="none"/>
        </w:rPr>
      </w:pPr>
      <w:r>
        <w:rPr>
          <w:rFonts w:hint="eastAsia" w:ascii="宋体" w:hAnsi="宋体" w:eastAsia="宋体" w:cs="宋体"/>
          <w:color w:val="auto"/>
          <w:sz w:val="24"/>
          <w:highlight w:val="none"/>
          <w:u w:val="none"/>
        </w:rPr>
        <w:t>4.最高限价：</w:t>
      </w:r>
      <w:r>
        <w:rPr>
          <w:rFonts w:hint="eastAsia" w:ascii="宋体" w:hAnsi="宋体" w:eastAsia="宋体" w:cs="宋体"/>
          <w:color w:val="auto"/>
          <w:sz w:val="24"/>
          <w:szCs w:val="18"/>
          <w:highlight w:val="none"/>
          <w:u w:val="none"/>
          <w:lang w:val="en-US" w:eastAsia="zh-CN"/>
        </w:rPr>
        <w:t>5万</w:t>
      </w:r>
      <w:r>
        <w:rPr>
          <w:rFonts w:hint="eastAsia" w:ascii="宋体" w:hAnsi="宋体" w:eastAsia="宋体" w:cs="宋体"/>
          <w:color w:val="auto"/>
          <w:sz w:val="24"/>
          <w:szCs w:val="18"/>
          <w:highlight w:val="none"/>
          <w:u w:val="none"/>
        </w:rPr>
        <w:t>，高于最高限价其投标文件按无效投标处理。</w:t>
      </w:r>
    </w:p>
    <w:p w14:paraId="389926A7">
      <w:pPr>
        <w:spacing w:line="360" w:lineRule="auto"/>
        <w:ind w:firstLine="435"/>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5.采购需求：</w:t>
      </w:r>
      <w:r>
        <w:rPr>
          <w:rFonts w:hint="eastAsia" w:ascii="宋体" w:hAnsi="宋体" w:eastAsia="宋体" w:cs="宋体"/>
          <w:color w:val="auto"/>
          <w:kern w:val="2"/>
          <w:sz w:val="24"/>
          <w:szCs w:val="24"/>
          <w:u w:val="none"/>
          <w:lang w:val="en-US" w:eastAsia="zh-CN" w:bidi="ar-SA"/>
        </w:rPr>
        <w:t>按生态环境部相关规定，北区扩建项目中DSA、复合DSA、ERCP正式投入使用前需编制环境影响评价报告，并取得生态环境部门批复。</w:t>
      </w:r>
    </w:p>
    <w:p w14:paraId="131C116D">
      <w:pPr>
        <w:spacing w:line="360" w:lineRule="auto"/>
        <w:ind w:firstLine="435"/>
        <w:rPr>
          <w:rFonts w:hint="eastAsia" w:ascii="宋体" w:hAnsi="宋体" w:eastAsia="宋体" w:cs="宋体"/>
          <w:color w:val="auto"/>
          <w:sz w:val="24"/>
          <w:szCs w:val="18"/>
          <w:highlight w:val="none"/>
          <w:u w:val="none"/>
          <w:lang w:eastAsia="zh-CN"/>
        </w:rPr>
      </w:pPr>
      <w:r>
        <w:rPr>
          <w:rFonts w:hint="eastAsia" w:ascii="宋体" w:hAnsi="宋体" w:eastAsia="宋体" w:cs="宋体"/>
          <w:color w:val="auto"/>
          <w:sz w:val="24"/>
          <w:highlight w:val="none"/>
          <w:u w:val="none"/>
        </w:rPr>
        <w:t>6.合同履行期限：</w:t>
      </w:r>
      <w:r>
        <w:rPr>
          <w:rFonts w:hint="eastAsia" w:ascii="宋体" w:hAnsi="宋体" w:eastAsia="宋体" w:cs="宋体"/>
          <w:color w:val="auto"/>
          <w:sz w:val="24"/>
          <w:szCs w:val="18"/>
          <w:highlight w:val="none"/>
          <w:u w:val="none"/>
          <w:lang w:eastAsia="zh-CN"/>
        </w:rPr>
        <w:t>完成环境影响报告编制，取得生态环境部门批复为止</w:t>
      </w:r>
    </w:p>
    <w:p w14:paraId="1486326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7.本项目不接受联合体投标。</w:t>
      </w:r>
    </w:p>
    <w:p w14:paraId="3CB5EECD">
      <w:pPr>
        <w:spacing w:line="360" w:lineRule="auto"/>
        <w:ind w:firstLine="437"/>
        <w:outlineLvl w:val="1"/>
        <w:rPr>
          <w:rFonts w:hint="eastAsia" w:ascii="宋体" w:hAnsi="宋体" w:eastAsia="宋体" w:cs="宋体"/>
          <w:b/>
          <w:bCs/>
          <w:color w:val="auto"/>
          <w:sz w:val="24"/>
          <w:szCs w:val="18"/>
          <w:highlight w:val="none"/>
        </w:rPr>
      </w:pPr>
      <w:bookmarkStart w:id="4" w:name="_Toc13530"/>
      <w:bookmarkStart w:id="5" w:name="_Toc9204"/>
      <w:r>
        <w:rPr>
          <w:rFonts w:hint="eastAsia" w:ascii="宋体" w:hAnsi="宋体" w:eastAsia="宋体" w:cs="宋体"/>
          <w:b/>
          <w:bCs/>
          <w:color w:val="auto"/>
          <w:sz w:val="24"/>
          <w:szCs w:val="18"/>
          <w:highlight w:val="none"/>
        </w:rPr>
        <w:t>二、</w:t>
      </w:r>
      <w:bookmarkEnd w:id="4"/>
      <w:r>
        <w:rPr>
          <w:rFonts w:hint="eastAsia" w:ascii="宋体" w:hAnsi="宋体" w:eastAsia="宋体" w:cs="宋体"/>
          <w:b/>
          <w:bCs/>
          <w:color w:val="auto"/>
          <w:sz w:val="24"/>
          <w:szCs w:val="18"/>
          <w:highlight w:val="none"/>
        </w:rPr>
        <w:t>申请人的资格要求</w:t>
      </w:r>
      <w:bookmarkEnd w:id="5"/>
    </w:p>
    <w:p w14:paraId="1D05826C">
      <w:pPr>
        <w:spacing w:line="360" w:lineRule="auto"/>
        <w:ind w:firstLine="435"/>
        <w:outlineLvl w:val="9"/>
        <w:rPr>
          <w:rFonts w:hint="eastAsia" w:ascii="宋体" w:hAnsi="宋体" w:eastAsia="宋体" w:cs="宋体"/>
          <w:color w:val="auto"/>
          <w:sz w:val="24"/>
          <w:highlight w:val="none"/>
        </w:rPr>
      </w:pPr>
      <w:bookmarkStart w:id="6" w:name="_Toc30110"/>
      <w:r>
        <w:rPr>
          <w:rFonts w:hint="eastAsia" w:ascii="宋体" w:hAnsi="宋体" w:eastAsia="宋体" w:cs="宋体"/>
          <w:color w:val="auto"/>
          <w:sz w:val="24"/>
          <w:highlight w:val="none"/>
        </w:rPr>
        <w:t>1.满足《中华人民共和国政府采购法》第二十二条规定；</w:t>
      </w:r>
    </w:p>
    <w:p w14:paraId="3A6854CC">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u w:val="single"/>
          <w:lang w:val="en-US" w:eastAsia="zh-CN"/>
        </w:rPr>
        <w:t>根据《建设项目环境影响报告书（表）编制监督管理办法》要求：①投标单位在中华人民共和国生态环境部“环境影响评价信用平台（http://114.251.10.92:8080/XYPT/）注册。（提供有效的环境影响评价信用平台截图证明并加盖公章。）</w:t>
      </w:r>
    </w:p>
    <w:p w14:paraId="48F5C643">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②项目负责人具有环境影响评价工程师职业资格证书，在本单位注册，且已在中华人民共和国生态环境部“环境影响评价信用平台”（http://114.251.10.92:8080/XYPT/）注册。（提供证书复印件及环境影响评价信用平台截图证明加盖公章。）</w:t>
      </w:r>
    </w:p>
    <w:p w14:paraId="6007F5CA">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0"/>
          <w:highlight w:val="none"/>
          <w:lang w:val="en-US" w:eastAsia="zh-CN" w:bidi="ar-SA"/>
        </w:rPr>
        <w:t>3.</w:t>
      </w:r>
      <w:r>
        <w:rPr>
          <w:rFonts w:hint="eastAsia" w:ascii="宋体" w:hAnsi="宋体" w:eastAsia="宋体" w:cs="宋体"/>
          <w:color w:val="auto"/>
          <w:sz w:val="24"/>
          <w:highlight w:val="none"/>
          <w:lang w:val="en-US" w:eastAsia="zh-CN"/>
        </w:rPr>
        <w:t xml:space="preserve">.信誉要求：投标人不得存在以下情形： </w:t>
      </w:r>
    </w:p>
    <w:p w14:paraId="6E519696">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①投标人被人民法院列入失信被执行人的； </w:t>
      </w:r>
    </w:p>
    <w:p w14:paraId="3411EFE4">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②投标人或其法定代表人或拟派项目经理（项目负责人）前三年有行贿犯罪行为的； </w:t>
      </w:r>
    </w:p>
    <w:p w14:paraId="6A8DA32B">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③投标人被市场监督管理部门列入经营异常名录或者严重违法企业名单，且未被移除的； </w:t>
      </w:r>
    </w:p>
    <w:p w14:paraId="69D442E4">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④投标人被税务部门列入重大税收违法案件当事人的； </w:t>
      </w:r>
    </w:p>
    <w:p w14:paraId="102AFF14">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⑤投标人被政府采购监管部门列入政府采购严重违法失信行为记录名单的； </w:t>
      </w:r>
    </w:p>
    <w:p w14:paraId="257BAE66">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⑥在“信用中国”网站上披露仍在公示期的严重失信行为的。 </w:t>
      </w:r>
    </w:p>
    <w:p w14:paraId="50467E67">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4.投标人所属分公司、办事处等分支机构存在第 4 款信誉要求①-⑥项 情形之一的，接受投标人参加本项目。 </w:t>
      </w:r>
    </w:p>
    <w:p w14:paraId="0535E3F9">
      <w:pPr>
        <w:spacing w:line="360" w:lineRule="auto"/>
        <w:ind w:firstLine="435"/>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4"/>
          <w:highlight w:val="none"/>
          <w:lang w:val="en-US" w:eastAsia="zh-CN"/>
        </w:rPr>
        <w:t>备注：第3、4条自行查询或承诺。</w:t>
      </w:r>
    </w:p>
    <w:p w14:paraId="73336743">
      <w:pPr>
        <w:spacing w:line="360" w:lineRule="auto"/>
        <w:ind w:firstLine="437"/>
        <w:outlineLvl w:val="1"/>
        <w:rPr>
          <w:rFonts w:hint="eastAsia" w:ascii="宋体" w:hAnsi="宋体" w:eastAsia="宋体" w:cs="宋体"/>
          <w:b/>
          <w:bCs/>
          <w:color w:val="auto"/>
          <w:sz w:val="24"/>
          <w:szCs w:val="18"/>
          <w:highlight w:val="none"/>
        </w:rPr>
      </w:pPr>
      <w:bookmarkStart w:id="7" w:name="_Toc21681"/>
      <w:r>
        <w:rPr>
          <w:rFonts w:hint="eastAsia" w:ascii="宋体" w:hAnsi="宋体" w:eastAsia="宋体" w:cs="宋体"/>
          <w:b/>
          <w:bCs/>
          <w:color w:val="auto"/>
          <w:sz w:val="24"/>
          <w:szCs w:val="18"/>
          <w:highlight w:val="none"/>
        </w:rPr>
        <w:t>三、</w:t>
      </w:r>
      <w:bookmarkEnd w:id="6"/>
      <w:r>
        <w:rPr>
          <w:rFonts w:hint="eastAsia" w:ascii="宋体" w:hAnsi="宋体" w:eastAsia="宋体" w:cs="宋体"/>
          <w:b/>
          <w:bCs/>
          <w:color w:val="auto"/>
          <w:sz w:val="24"/>
          <w:szCs w:val="18"/>
          <w:highlight w:val="none"/>
        </w:rPr>
        <w:t>获取招标文件</w:t>
      </w:r>
      <w:bookmarkEnd w:id="7"/>
    </w:p>
    <w:p w14:paraId="4CFCF87F">
      <w:pPr>
        <w:spacing w:line="360" w:lineRule="auto"/>
        <w:ind w:firstLine="540"/>
        <w:rPr>
          <w:rFonts w:hint="eastAsia" w:ascii="宋体" w:hAnsi="宋体" w:eastAsia="宋体" w:cs="宋体"/>
          <w:i/>
          <w:iCs/>
          <w:sz w:val="24"/>
          <w:szCs w:val="24"/>
          <w:highlight w:val="none"/>
        </w:rPr>
      </w:pPr>
      <w:bookmarkStart w:id="8" w:name="_Toc7957"/>
      <w:bookmarkStart w:id="9" w:name="_Toc25902"/>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日</w:t>
      </w:r>
    </w:p>
    <w:p w14:paraId="260E6431">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eastAsia" w:ascii="宋体" w:hAnsi="宋体" w:eastAsia="宋体" w:cs="宋体"/>
          <w:color w:val="auto"/>
          <w:sz w:val="24"/>
          <w:szCs w:val="18"/>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s="宋体"/>
          <w:color w:val="auto"/>
          <w:sz w:val="24"/>
          <w:szCs w:val="18"/>
          <w:highlight w:val="none"/>
          <w:u w:val="single"/>
          <w:lang w:val="en-US" w:eastAsia="zh-CN"/>
        </w:rPr>
        <w:t>滁州市第一人民医院官网</w:t>
      </w:r>
    </w:p>
    <w:p w14:paraId="56FB2AAB">
      <w:pPr>
        <w:spacing w:line="360" w:lineRule="auto"/>
        <w:ind w:firstLine="54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lang w:val="en-US" w:eastAsia="zh-CN"/>
        </w:rPr>
        <w:t>网上自行下载</w:t>
      </w:r>
    </w:p>
    <w:p w14:paraId="2F8BC71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四、</w:t>
      </w:r>
      <w:bookmarkEnd w:id="8"/>
      <w:r>
        <w:rPr>
          <w:rFonts w:hint="eastAsia" w:ascii="宋体" w:hAnsi="宋体" w:eastAsia="宋体" w:cs="宋体"/>
          <w:b/>
          <w:bCs/>
          <w:color w:val="auto"/>
          <w:sz w:val="24"/>
          <w:szCs w:val="18"/>
          <w:highlight w:val="none"/>
        </w:rPr>
        <w:t>提交投标文件截止时间、开标时间和地点</w:t>
      </w:r>
      <w:bookmarkEnd w:id="9"/>
    </w:p>
    <w:p w14:paraId="68B735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none"/>
        </w:rPr>
      </w:pPr>
      <w:bookmarkStart w:id="10" w:name="_Toc5082"/>
      <w:r>
        <w:rPr>
          <w:rFonts w:hint="eastAsia" w:ascii="宋体" w:hAnsi="宋体" w:eastAsia="宋体" w:cs="宋体"/>
          <w:bCs/>
          <w:sz w:val="24"/>
          <w:szCs w:val="24"/>
          <w:highlight w:val="none"/>
          <w:u w:val="none"/>
        </w:rPr>
        <w:t>投标截止时间：</w:t>
      </w:r>
      <w:r>
        <w:rPr>
          <w:rFonts w:hint="eastAsia" w:ascii="宋体" w:hAnsi="宋体" w:eastAsia="宋体" w:cs="宋体"/>
          <w:bCs/>
          <w:sz w:val="24"/>
          <w:szCs w:val="24"/>
          <w:highlight w:val="none"/>
          <w:u w:val="single"/>
        </w:rPr>
        <w:t>202</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u w:val="none"/>
        </w:rPr>
        <w:t>年</w:t>
      </w:r>
      <w:r>
        <w:rPr>
          <w:rFonts w:hint="eastAsia" w:ascii="宋体" w:hAnsi="宋体" w:eastAsia="宋体" w:cs="宋体"/>
          <w:bCs/>
          <w:sz w:val="24"/>
          <w:szCs w:val="24"/>
          <w:highlight w:val="none"/>
          <w:u w:val="single"/>
          <w:lang w:val="en-US" w:eastAsia="zh-CN"/>
        </w:rPr>
        <w:t>6</w:t>
      </w:r>
      <w:r>
        <w:rPr>
          <w:rFonts w:hint="eastAsia" w:ascii="宋体" w:hAnsi="宋体" w:eastAsia="宋体" w:cs="宋体"/>
          <w:bCs/>
          <w:sz w:val="24"/>
          <w:szCs w:val="24"/>
          <w:highlight w:val="none"/>
          <w:u w:val="none"/>
        </w:rPr>
        <w:t>月</w:t>
      </w:r>
      <w:r>
        <w:rPr>
          <w:rFonts w:hint="eastAsia" w:ascii="宋体" w:hAnsi="宋体" w:eastAsia="宋体" w:cs="宋体"/>
          <w:bCs/>
          <w:sz w:val="24"/>
          <w:szCs w:val="24"/>
          <w:highlight w:val="none"/>
          <w:u w:val="single"/>
          <w:lang w:val="en-US" w:eastAsia="zh-CN"/>
        </w:rPr>
        <w:t>20</w:t>
      </w:r>
      <w:r>
        <w:rPr>
          <w:rFonts w:hint="eastAsia" w:ascii="宋体" w:hAnsi="宋体" w:eastAsia="宋体" w:cs="宋体"/>
          <w:bCs/>
          <w:sz w:val="24"/>
          <w:szCs w:val="24"/>
          <w:highlight w:val="none"/>
          <w:u w:val="none"/>
        </w:rPr>
        <w:t>日</w:t>
      </w:r>
      <w:r>
        <w:rPr>
          <w:rFonts w:hint="eastAsia" w:ascii="宋体" w:hAnsi="宋体" w:eastAsia="宋体" w:cs="宋体"/>
          <w:bCs/>
          <w:sz w:val="24"/>
          <w:szCs w:val="24"/>
          <w:highlight w:val="none"/>
          <w:u w:val="none"/>
          <w:lang w:val="en-US" w:eastAsia="zh-CN"/>
        </w:rPr>
        <w:t>15</w:t>
      </w:r>
      <w:r>
        <w:rPr>
          <w:rFonts w:hint="eastAsia" w:ascii="宋体" w:hAnsi="宋体" w:eastAsia="宋体" w:cs="宋体"/>
          <w:bCs/>
          <w:sz w:val="24"/>
          <w:szCs w:val="24"/>
          <w:highlight w:val="none"/>
          <w:u w:val="none"/>
        </w:rPr>
        <w:t>点00分（北京时间）</w:t>
      </w:r>
    </w:p>
    <w:p w14:paraId="51D24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none"/>
          <w:lang w:val="en-US" w:eastAsia="zh-CN"/>
        </w:rPr>
      </w:pPr>
      <w:r>
        <w:rPr>
          <w:rFonts w:hint="eastAsia" w:ascii="宋体" w:hAnsi="宋体" w:eastAsia="宋体" w:cs="宋体"/>
          <w:bCs/>
          <w:sz w:val="24"/>
          <w:szCs w:val="24"/>
          <w:highlight w:val="none"/>
          <w:u w:val="none"/>
          <w:lang w:val="en-US" w:eastAsia="zh-CN"/>
        </w:rPr>
        <w:t>开标时间：</w:t>
      </w:r>
      <w:r>
        <w:rPr>
          <w:rFonts w:hint="eastAsia" w:ascii="宋体" w:hAnsi="宋体" w:eastAsia="宋体" w:cs="宋体"/>
          <w:bCs/>
          <w:sz w:val="24"/>
          <w:szCs w:val="24"/>
          <w:highlight w:val="none"/>
          <w:u w:val="single"/>
        </w:rPr>
        <w:t>202</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u w:val="none"/>
        </w:rPr>
        <w:t>年</w:t>
      </w:r>
      <w:r>
        <w:rPr>
          <w:rFonts w:hint="eastAsia" w:ascii="宋体" w:hAnsi="宋体" w:eastAsia="宋体" w:cs="宋体"/>
          <w:bCs/>
          <w:sz w:val="24"/>
          <w:szCs w:val="24"/>
          <w:highlight w:val="none"/>
          <w:u w:val="single"/>
          <w:lang w:val="en-US" w:eastAsia="zh-CN"/>
        </w:rPr>
        <w:t>6</w:t>
      </w:r>
      <w:r>
        <w:rPr>
          <w:rFonts w:hint="eastAsia" w:ascii="宋体" w:hAnsi="宋体" w:eastAsia="宋体" w:cs="宋体"/>
          <w:bCs/>
          <w:sz w:val="24"/>
          <w:szCs w:val="24"/>
          <w:highlight w:val="none"/>
          <w:u w:val="none"/>
        </w:rPr>
        <w:t>月</w:t>
      </w:r>
      <w:r>
        <w:rPr>
          <w:rFonts w:hint="eastAsia" w:ascii="宋体" w:hAnsi="宋体" w:eastAsia="宋体" w:cs="宋体"/>
          <w:bCs/>
          <w:sz w:val="24"/>
          <w:szCs w:val="24"/>
          <w:highlight w:val="none"/>
          <w:u w:val="single"/>
          <w:lang w:val="en-US" w:eastAsia="zh-CN"/>
        </w:rPr>
        <w:t>20</w:t>
      </w:r>
      <w:r>
        <w:rPr>
          <w:rFonts w:hint="eastAsia" w:ascii="宋体" w:hAnsi="宋体" w:eastAsia="宋体" w:cs="宋体"/>
          <w:bCs/>
          <w:sz w:val="24"/>
          <w:szCs w:val="24"/>
          <w:highlight w:val="none"/>
          <w:u w:val="none"/>
        </w:rPr>
        <w:t>日</w:t>
      </w:r>
      <w:r>
        <w:rPr>
          <w:rFonts w:hint="eastAsia" w:ascii="宋体" w:hAnsi="宋体" w:eastAsia="宋体" w:cs="宋体"/>
          <w:bCs/>
          <w:sz w:val="24"/>
          <w:szCs w:val="24"/>
          <w:highlight w:val="none"/>
          <w:u w:val="none"/>
          <w:lang w:val="en-US" w:eastAsia="zh-CN"/>
        </w:rPr>
        <w:t>15</w:t>
      </w:r>
      <w:r>
        <w:rPr>
          <w:rFonts w:hint="eastAsia" w:ascii="宋体" w:hAnsi="宋体" w:eastAsia="宋体" w:cs="宋体"/>
          <w:bCs/>
          <w:sz w:val="24"/>
          <w:szCs w:val="24"/>
          <w:highlight w:val="none"/>
          <w:u w:val="none"/>
        </w:rPr>
        <w:t>点00分（北京时间）</w:t>
      </w:r>
    </w:p>
    <w:p w14:paraId="53FDDD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none"/>
        </w:rPr>
      </w:pPr>
      <w:r>
        <w:rPr>
          <w:rFonts w:hint="eastAsia" w:ascii="宋体" w:hAnsi="宋体" w:eastAsia="宋体" w:cs="宋体"/>
          <w:bCs/>
          <w:sz w:val="24"/>
          <w:szCs w:val="24"/>
          <w:highlight w:val="none"/>
          <w:u w:val="none"/>
        </w:rPr>
        <w:t>地点：滁州市第一人民医院南区行政楼五楼西招标</w:t>
      </w:r>
      <w:r>
        <w:rPr>
          <w:rFonts w:hint="eastAsia" w:ascii="宋体" w:hAnsi="宋体" w:eastAsia="宋体" w:cs="宋体"/>
          <w:bCs/>
          <w:sz w:val="24"/>
          <w:szCs w:val="24"/>
          <w:u w:val="none"/>
        </w:rPr>
        <w:t>办</w:t>
      </w:r>
    </w:p>
    <w:p w14:paraId="7BEC5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none"/>
        </w:rPr>
      </w:pPr>
      <w:r>
        <w:rPr>
          <w:rFonts w:hint="eastAsia" w:ascii="宋体" w:hAnsi="宋体" w:eastAsia="宋体" w:cs="宋体"/>
          <w:bCs/>
          <w:sz w:val="24"/>
          <w:szCs w:val="24"/>
          <w:u w:val="none"/>
        </w:rPr>
        <w:t>注：各投标人可以采用直接送达或邮寄的方式，递交时间以直接送达或快递送达的时间为准，逾期不予接收</w:t>
      </w:r>
    </w:p>
    <w:p w14:paraId="53C2896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1" w:name="_Toc7753"/>
      <w:r>
        <w:rPr>
          <w:rFonts w:hint="eastAsia" w:ascii="宋体" w:hAnsi="宋体" w:eastAsia="宋体" w:cs="宋体"/>
          <w:b/>
          <w:bCs/>
          <w:color w:val="auto"/>
          <w:sz w:val="24"/>
          <w:szCs w:val="18"/>
          <w:highlight w:val="none"/>
        </w:rPr>
        <w:t>五、</w:t>
      </w:r>
      <w:bookmarkEnd w:id="10"/>
      <w:r>
        <w:rPr>
          <w:rFonts w:hint="eastAsia" w:ascii="宋体" w:hAnsi="宋体" w:eastAsia="宋体" w:cs="宋体"/>
          <w:b/>
          <w:bCs/>
          <w:color w:val="auto"/>
          <w:sz w:val="24"/>
          <w:szCs w:val="18"/>
          <w:highlight w:val="none"/>
        </w:rPr>
        <w:t>公告期限</w:t>
      </w:r>
      <w:bookmarkEnd w:id="11"/>
    </w:p>
    <w:p w14:paraId="5D04B5B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rPr>
      </w:pPr>
      <w:bookmarkStart w:id="12" w:name="_Toc1215"/>
      <w:r>
        <w:rPr>
          <w:rFonts w:hint="eastAsia" w:ascii="宋体" w:hAnsi="宋体" w:eastAsia="宋体" w:cs="宋体"/>
          <w:b w:val="0"/>
          <w:bCs w:val="0"/>
          <w:color w:val="auto"/>
          <w:sz w:val="24"/>
          <w:szCs w:val="18"/>
          <w:highlight w:val="none"/>
        </w:rPr>
        <w:t>自本公告发布之日起5个工作日。</w:t>
      </w:r>
    </w:p>
    <w:p w14:paraId="4727284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3" w:name="_Toc35393626"/>
      <w:bookmarkStart w:id="14" w:name="_Toc31539"/>
      <w:bookmarkStart w:id="15" w:name="_Toc35393795"/>
      <w:r>
        <w:rPr>
          <w:rFonts w:hint="eastAsia" w:ascii="宋体" w:hAnsi="宋体" w:eastAsia="宋体" w:cs="宋体"/>
          <w:b/>
          <w:bCs/>
          <w:color w:val="auto"/>
          <w:sz w:val="24"/>
          <w:szCs w:val="18"/>
          <w:highlight w:val="none"/>
        </w:rPr>
        <w:t>六、其他补充事宜</w:t>
      </w:r>
      <w:bookmarkEnd w:id="13"/>
      <w:bookmarkEnd w:id="14"/>
      <w:bookmarkEnd w:id="15"/>
    </w:p>
    <w:bookmarkEnd w:id="12"/>
    <w:p w14:paraId="1A195815">
      <w:pPr>
        <w:spacing w:line="360" w:lineRule="auto"/>
        <w:ind w:firstLine="437"/>
        <w:outlineLvl w:val="1"/>
        <w:rPr>
          <w:rFonts w:hint="eastAsia" w:ascii="宋体" w:hAnsi="宋体" w:eastAsia="宋体" w:cs="宋体"/>
          <w:color w:val="auto"/>
          <w:sz w:val="24"/>
          <w:szCs w:val="18"/>
          <w:highlight w:val="none"/>
          <w:lang w:val="en-US" w:eastAsia="zh-CN"/>
        </w:rPr>
      </w:pPr>
      <w:bookmarkStart w:id="16" w:name="_Toc7265"/>
      <w:bookmarkStart w:id="17" w:name="_Toc13296"/>
      <w:r>
        <w:rPr>
          <w:rFonts w:hint="eastAsia" w:ascii="宋体" w:hAnsi="宋体" w:eastAsia="宋体" w:cs="宋体"/>
          <w:color w:val="auto"/>
          <w:sz w:val="24"/>
          <w:szCs w:val="18"/>
          <w:highlight w:val="none"/>
          <w:lang w:val="en-US" w:eastAsia="zh-CN"/>
        </w:rPr>
        <w:t>无</w:t>
      </w:r>
    </w:p>
    <w:p w14:paraId="1C715586">
      <w:pPr>
        <w:spacing w:line="360" w:lineRule="auto"/>
        <w:ind w:firstLine="437"/>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七、</w:t>
      </w:r>
      <w:bookmarkEnd w:id="16"/>
      <w:r>
        <w:rPr>
          <w:rFonts w:hint="eastAsia" w:ascii="宋体" w:hAnsi="宋体" w:eastAsia="宋体" w:cs="宋体"/>
          <w:b/>
          <w:bCs/>
          <w:color w:val="auto"/>
          <w:sz w:val="24"/>
          <w:szCs w:val="18"/>
          <w:highlight w:val="none"/>
        </w:rPr>
        <w:t>对本次招标提出询问，请按以下方式联系</w:t>
      </w:r>
      <w:bookmarkEnd w:id="17"/>
    </w:p>
    <w:p w14:paraId="3E7AA98A">
      <w:pPr>
        <w:spacing w:line="360" w:lineRule="auto"/>
        <w:ind w:firstLine="437"/>
        <w:outlineLvl w:val="2"/>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1.采购人</w:t>
      </w:r>
      <w:r>
        <w:rPr>
          <w:rFonts w:hint="eastAsia" w:ascii="宋体" w:hAnsi="宋体" w:eastAsia="宋体" w:cs="宋体"/>
          <w:color w:val="auto"/>
          <w:sz w:val="24"/>
          <w:szCs w:val="18"/>
          <w:highlight w:val="none"/>
          <w:lang w:val="en-US" w:eastAsia="zh-CN"/>
        </w:rPr>
        <w:t>信息</w:t>
      </w:r>
    </w:p>
    <w:p w14:paraId="0CCA4FBF">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滁州市第一人民医院</w:t>
      </w:r>
    </w:p>
    <w:p w14:paraId="72357814">
      <w:pPr>
        <w:spacing w:line="360" w:lineRule="auto"/>
        <w:ind w:firstLine="435"/>
        <w:rPr>
          <w:rFonts w:hint="eastAsia" w:ascii="宋体" w:hAnsi="宋体" w:eastAsia="宋体" w:cs="宋体"/>
          <w:i w:val="0"/>
          <w:iCs w:val="0"/>
          <w:caps w:val="0"/>
          <w:color w:val="333333"/>
          <w:spacing w:val="0"/>
          <w:sz w:val="24"/>
          <w:szCs w:val="24"/>
          <w:u w:val="single"/>
          <w:shd w:val="clear" w:color="auto" w:fill="FFFFFF"/>
        </w:rPr>
      </w:pPr>
      <w:r>
        <w:rPr>
          <w:rFonts w:hint="eastAsia" w:ascii="宋体" w:hAnsi="宋体" w:eastAsia="宋体" w:cs="宋体"/>
          <w:color w:val="auto"/>
          <w:sz w:val="24"/>
          <w:szCs w:val="18"/>
          <w:highlight w:val="none"/>
        </w:rPr>
        <w:t>地  址：</w:t>
      </w:r>
      <w:r>
        <w:rPr>
          <w:rFonts w:hint="eastAsia" w:ascii="宋体" w:hAnsi="宋体" w:eastAsia="宋体" w:cs="宋体"/>
          <w:i w:val="0"/>
          <w:iCs w:val="0"/>
          <w:caps w:val="0"/>
          <w:color w:val="333333"/>
          <w:spacing w:val="0"/>
          <w:sz w:val="24"/>
          <w:szCs w:val="24"/>
          <w:u w:val="single"/>
          <w:shd w:val="clear" w:color="auto" w:fill="FFFFFF"/>
        </w:rPr>
        <w:t>滁州市醉翁西路369号</w:t>
      </w:r>
    </w:p>
    <w:p w14:paraId="1BF948D0">
      <w:pPr>
        <w:spacing w:line="360" w:lineRule="auto"/>
        <w:ind w:firstLine="435"/>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u w:val="single"/>
          <w:shd w:val="clear" w:color="auto" w:fill="FFFFFF"/>
        </w:rPr>
        <w:t>招标办</w:t>
      </w:r>
    </w:p>
    <w:p w14:paraId="636452E9">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0550-3526032</w:t>
      </w:r>
    </w:p>
    <w:p w14:paraId="35F25353">
      <w:pPr>
        <w:spacing w:line="360" w:lineRule="auto"/>
        <w:ind w:firstLine="437"/>
        <w:outlineLvl w:val="2"/>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2.采购代理机构</w:t>
      </w:r>
      <w:r>
        <w:rPr>
          <w:rFonts w:hint="eastAsia" w:ascii="宋体" w:hAnsi="宋体" w:eastAsia="宋体" w:cs="宋体"/>
          <w:color w:val="auto"/>
          <w:sz w:val="24"/>
          <w:szCs w:val="18"/>
          <w:highlight w:val="none"/>
          <w:lang w:val="en-US" w:eastAsia="zh-CN"/>
        </w:rPr>
        <w:t>信息</w:t>
      </w:r>
    </w:p>
    <w:p w14:paraId="6C69A8B8">
      <w:pPr>
        <w:spacing w:line="360" w:lineRule="auto"/>
        <w:ind w:firstLine="435"/>
        <w:rPr>
          <w:rFonts w:hint="eastAsia" w:ascii="宋体" w:hAnsi="宋体" w:eastAsia="宋体" w:cs="宋体"/>
          <w:i w:val="0"/>
          <w:iCs w:val="0"/>
          <w:caps w:val="0"/>
          <w:color w:val="333333"/>
          <w:spacing w:val="0"/>
          <w:sz w:val="24"/>
          <w:szCs w:val="24"/>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江苏川页工程项目管理有限公司</w:t>
      </w:r>
    </w:p>
    <w:p w14:paraId="57287162">
      <w:pPr>
        <w:spacing w:line="360" w:lineRule="auto"/>
        <w:ind w:firstLine="435"/>
        <w:rPr>
          <w:rFonts w:hint="eastAsia" w:ascii="宋体" w:hAnsi="宋体" w:eastAsia="宋体" w:cs="宋体"/>
          <w:i w:val="0"/>
          <w:iCs w:val="0"/>
          <w:caps w:val="0"/>
          <w:color w:val="333333"/>
          <w:spacing w:val="0"/>
          <w:sz w:val="24"/>
          <w:szCs w:val="24"/>
          <w:u w:val="single"/>
          <w:shd w:val="clear" w:color="auto" w:fill="FFFFFF"/>
        </w:rPr>
      </w:pPr>
      <w:r>
        <w:rPr>
          <w:rFonts w:hint="eastAsia" w:ascii="宋体" w:hAnsi="宋体" w:eastAsia="宋体" w:cs="宋体"/>
          <w:color w:val="auto"/>
          <w:sz w:val="24"/>
          <w:szCs w:val="18"/>
          <w:highlight w:val="none"/>
        </w:rPr>
        <w:t>地  址：</w:t>
      </w:r>
      <w:r>
        <w:rPr>
          <w:rFonts w:hint="eastAsia" w:ascii="宋体" w:hAnsi="宋体" w:eastAsia="宋体" w:cs="宋体"/>
          <w:i w:val="0"/>
          <w:iCs w:val="0"/>
          <w:caps w:val="0"/>
          <w:color w:val="333333"/>
          <w:spacing w:val="0"/>
          <w:sz w:val="24"/>
          <w:szCs w:val="24"/>
          <w:u w:val="single"/>
          <w:shd w:val="clear" w:color="auto" w:fill="FFFFFF"/>
        </w:rPr>
        <w:t>滁州市世贸大厦A座18楼1818</w:t>
      </w:r>
    </w:p>
    <w:p w14:paraId="13FE259C">
      <w:pPr>
        <w:spacing w:line="360" w:lineRule="auto"/>
        <w:ind w:firstLine="435"/>
        <w:rPr>
          <w:rFonts w:hint="eastAsia" w:ascii="宋体" w:hAnsi="宋体" w:eastAsia="宋体" w:cs="宋体"/>
          <w:i w:val="0"/>
          <w:iCs w:val="0"/>
          <w:caps w:val="0"/>
          <w:color w:val="333333"/>
          <w:spacing w:val="0"/>
          <w:sz w:val="24"/>
          <w:szCs w:val="24"/>
          <w:u w:val="single"/>
          <w:shd w:val="clear" w:color="auto" w:fill="FFFFFF"/>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u w:val="single"/>
          <w:shd w:val="clear" w:color="auto" w:fill="FFFFFF"/>
        </w:rPr>
        <w:t>赵建飞</w:t>
      </w:r>
    </w:p>
    <w:p w14:paraId="2D4B14C3">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18755018236</w:t>
      </w:r>
    </w:p>
    <w:p w14:paraId="6EE4448B">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1BA1D574">
      <w:pPr>
        <w:spacing w:line="360" w:lineRule="auto"/>
        <w:jc w:val="center"/>
        <w:outlineLvl w:val="0"/>
        <w:rPr>
          <w:rFonts w:hint="eastAsia" w:ascii="宋体" w:hAnsi="宋体" w:eastAsia="宋体" w:cs="宋体"/>
          <w:b/>
          <w:color w:val="auto"/>
          <w:sz w:val="28"/>
          <w:highlight w:val="none"/>
        </w:rPr>
      </w:pPr>
      <w:bookmarkStart w:id="18" w:name="_Toc8888"/>
      <w:r>
        <w:rPr>
          <w:rFonts w:hint="eastAsia" w:ascii="宋体" w:hAnsi="宋体" w:eastAsia="宋体" w:cs="宋体"/>
          <w:b/>
          <w:color w:val="auto"/>
          <w:sz w:val="28"/>
          <w:highlight w:val="none"/>
        </w:rPr>
        <w:t>第二章  投标人须知</w:t>
      </w:r>
      <w:bookmarkEnd w:id="18"/>
    </w:p>
    <w:p w14:paraId="67922581">
      <w:pPr>
        <w:spacing w:line="360" w:lineRule="auto"/>
        <w:jc w:val="center"/>
        <w:outlineLvl w:val="1"/>
        <w:rPr>
          <w:rFonts w:hint="eastAsia" w:ascii="宋体" w:hAnsi="宋体" w:eastAsia="宋体" w:cs="宋体"/>
          <w:b/>
          <w:color w:val="auto"/>
          <w:sz w:val="24"/>
          <w:highlight w:val="none"/>
        </w:rPr>
      </w:pPr>
      <w:bookmarkStart w:id="19" w:name="_Toc13589"/>
      <w:bookmarkStart w:id="20" w:name="_Toc7178"/>
      <w:r>
        <w:rPr>
          <w:rFonts w:hint="eastAsia" w:ascii="宋体" w:hAnsi="宋体" w:eastAsia="宋体" w:cs="宋体"/>
          <w:b/>
          <w:color w:val="auto"/>
          <w:sz w:val="24"/>
          <w:highlight w:val="none"/>
        </w:rPr>
        <w:t>一、投标人须知前附表</w:t>
      </w:r>
      <w:bookmarkEnd w:id="19"/>
      <w:bookmarkEnd w:id="20"/>
    </w:p>
    <w:p w14:paraId="76440F70">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5"/>
        <w:tblW w:w="52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2375"/>
        <w:gridCol w:w="6924"/>
      </w:tblGrid>
      <w:tr w14:paraId="561E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45279B5F">
            <w:pPr>
              <w:pStyle w:val="42"/>
              <w:widowControl w:val="0"/>
              <w:spacing w:before="0" w:beforeAutospacing="0" w:after="0" w:afterAutospacing="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1134" w:type="pct"/>
            <w:vAlign w:val="center"/>
          </w:tcPr>
          <w:p w14:paraId="4BDE98ED">
            <w:pPr>
              <w:pStyle w:val="42"/>
              <w:widowControl w:val="0"/>
              <w:spacing w:before="0" w:beforeAutospacing="0" w:after="0" w:afterAutospacing="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3306" w:type="pct"/>
            <w:vAlign w:val="center"/>
          </w:tcPr>
          <w:p w14:paraId="1597BD87">
            <w:pPr>
              <w:pStyle w:val="42"/>
              <w:widowControl w:val="0"/>
              <w:spacing w:before="0" w:beforeAutospacing="0" w:after="0" w:afterAutospacing="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75A6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6158EE99">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lang w:val="en-US" w:eastAsia="zh-CN"/>
              </w:rPr>
              <w:t>5</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2</w:t>
            </w:r>
          </w:p>
        </w:tc>
        <w:tc>
          <w:tcPr>
            <w:tcW w:w="1134" w:type="pct"/>
            <w:vAlign w:val="center"/>
          </w:tcPr>
          <w:p w14:paraId="621B3C54">
            <w:pPr>
              <w:pStyle w:val="4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bCs/>
                <w:color w:val="auto"/>
                <w:kern w:val="2"/>
                <w:sz w:val="24"/>
                <w:szCs w:val="22"/>
                <w:highlight w:val="none"/>
                <w:lang w:val="en-US" w:eastAsia="zh-CN" w:bidi="ar-SA"/>
              </w:rPr>
              <w:t>现场考察或标前答疑会</w:t>
            </w:r>
          </w:p>
        </w:tc>
        <w:tc>
          <w:tcPr>
            <w:tcW w:w="3306" w:type="pct"/>
            <w:vAlign w:val="center"/>
          </w:tcPr>
          <w:p w14:paraId="24DA92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val="en-US" w:eastAsia="zh-CN"/>
              </w:rPr>
              <w:t>或不召开</w:t>
            </w:r>
          </w:p>
          <w:p w14:paraId="402C0A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w:t>
            </w:r>
            <w:r>
              <w:rPr>
                <w:rFonts w:hint="eastAsia" w:ascii="宋体" w:hAnsi="宋体" w:eastAsia="宋体" w:cs="宋体"/>
                <w:bCs/>
                <w:color w:val="auto"/>
                <w:sz w:val="24"/>
                <w:highlight w:val="none"/>
                <w:lang w:val="en-US" w:eastAsia="zh-CN"/>
              </w:rPr>
              <w:t>或统一召开</w:t>
            </w:r>
          </w:p>
          <w:p w14:paraId="0F6AD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分</w:t>
            </w:r>
          </w:p>
          <w:p w14:paraId="598810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rPr>
              <w:t xml:space="preserve">                       </w:t>
            </w:r>
          </w:p>
          <w:p w14:paraId="585F15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rPr>
              <w:t xml:space="preserve">           </w:t>
            </w:r>
          </w:p>
          <w:p w14:paraId="28C7B210">
            <w:pPr>
              <w:pStyle w:val="4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color w:val="auto"/>
                <w:sz w:val="24"/>
                <w:highlight w:val="none"/>
              </w:rPr>
            </w:pPr>
            <w:r>
              <w:rPr>
                <w:rFonts w:hint="eastAsia" w:ascii="宋体" w:hAnsi="宋体" w:eastAsia="宋体" w:cs="宋体"/>
                <w:bCs w:val="0"/>
                <w:color w:val="auto"/>
                <w:sz w:val="24"/>
                <w:highlight w:val="none"/>
                <w:lang w:eastAsia="zh-CN"/>
              </w:rPr>
              <w:t>注：</w:t>
            </w:r>
            <w:r>
              <w:rPr>
                <w:rFonts w:hint="eastAsia" w:ascii="宋体" w:hAnsi="宋体" w:eastAsia="宋体" w:cs="宋体"/>
                <w:bCs w:val="0"/>
                <w:color w:val="auto"/>
                <w:sz w:val="24"/>
                <w:highlight w:val="none"/>
              </w:rPr>
              <w:t>如投标人未参加采购人统一组织的现场考察</w:t>
            </w:r>
            <w:r>
              <w:rPr>
                <w:rFonts w:hint="eastAsia" w:ascii="宋体" w:hAnsi="宋体" w:eastAsia="宋体" w:cs="宋体"/>
                <w:bCs w:val="0"/>
                <w:color w:val="auto"/>
                <w:sz w:val="24"/>
                <w:highlight w:val="none"/>
                <w:lang w:val="en-US" w:eastAsia="zh-CN"/>
              </w:rPr>
              <w:t>或采购人统一召开的标前答疑会</w:t>
            </w:r>
            <w:r>
              <w:rPr>
                <w:rFonts w:hint="eastAsia" w:ascii="宋体" w:hAnsi="宋体" w:eastAsia="宋体" w:cs="宋体"/>
                <w:bCs w:val="0"/>
                <w:color w:val="auto"/>
                <w:sz w:val="24"/>
                <w:highlight w:val="none"/>
              </w:rPr>
              <w:t>，视同放弃现场考察</w:t>
            </w:r>
            <w:r>
              <w:rPr>
                <w:rFonts w:hint="eastAsia" w:ascii="宋体" w:hAnsi="宋体" w:eastAsia="宋体" w:cs="宋体"/>
                <w:bCs w:val="0"/>
                <w:color w:val="auto"/>
                <w:sz w:val="24"/>
                <w:highlight w:val="none"/>
                <w:lang w:val="en-US" w:eastAsia="zh-CN"/>
              </w:rPr>
              <w:t>或标前答疑会</w:t>
            </w:r>
            <w:r>
              <w:rPr>
                <w:rFonts w:hint="eastAsia" w:ascii="宋体" w:hAnsi="宋体" w:eastAsia="宋体" w:cs="宋体"/>
                <w:bCs w:val="0"/>
                <w:color w:val="auto"/>
                <w:sz w:val="24"/>
                <w:highlight w:val="none"/>
              </w:rPr>
              <w:t>，由此引起的一切责任由投标人自行承担。</w:t>
            </w:r>
          </w:p>
        </w:tc>
      </w:tr>
      <w:tr w14:paraId="4D37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6F07EF12">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6</w:t>
            </w:r>
            <w:r>
              <w:rPr>
                <w:rFonts w:hint="eastAsia" w:ascii="宋体" w:hAnsi="宋体" w:eastAsia="宋体" w:cs="宋体"/>
                <w:bCs/>
                <w:color w:val="auto"/>
                <w:kern w:val="2"/>
                <w:highlight w:val="none"/>
              </w:rPr>
              <w:t>.1</w:t>
            </w:r>
          </w:p>
        </w:tc>
        <w:tc>
          <w:tcPr>
            <w:tcW w:w="1134" w:type="pct"/>
            <w:vAlign w:val="center"/>
          </w:tcPr>
          <w:p w14:paraId="16EAE52A">
            <w:pPr>
              <w:pStyle w:val="42"/>
              <w:widowControl w:val="0"/>
              <w:spacing w:before="0" w:beforeAutospacing="0" w:after="0" w:afterAutospacing="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3306" w:type="pct"/>
            <w:vAlign w:val="center"/>
          </w:tcPr>
          <w:p w14:paraId="1C4973D1">
            <w:pPr>
              <w:pStyle w:val="42"/>
              <w:widowControl w:val="0"/>
              <w:spacing w:before="0" w:beforeAutospacing="0" w:after="0" w:afterAutospacing="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lang w:val="en-US" w:eastAsia="zh-CN"/>
              </w:rPr>
              <w:t>2025</w:t>
            </w:r>
            <w:r>
              <w:rPr>
                <w:rFonts w:hint="eastAsia" w:ascii="宋体" w:hAnsi="宋体" w:eastAsia="宋体" w:cs="宋体"/>
                <w:b w:val="0"/>
                <w:color w:val="auto"/>
                <w:sz w:val="24"/>
                <w:highlight w:val="none"/>
              </w:rPr>
              <w:t>年</w:t>
            </w:r>
            <w:r>
              <w:rPr>
                <w:rFonts w:hint="eastAsia" w:ascii="宋体" w:hAnsi="宋体" w:eastAsia="宋体" w:cs="宋体"/>
                <w:b w:val="0"/>
                <w:color w:val="auto"/>
                <w:sz w:val="24"/>
                <w:highlight w:val="none"/>
                <w:u w:val="single"/>
                <w:lang w:val="en-US" w:eastAsia="zh-CN"/>
              </w:rPr>
              <w:t>6</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u w:val="single"/>
                <w:lang w:val="en-US" w:eastAsia="zh-CN"/>
              </w:rPr>
              <w:t>11</w:t>
            </w:r>
            <w:bookmarkStart w:id="223" w:name="_GoBack"/>
            <w:bookmarkEnd w:id="223"/>
            <w:r>
              <w:rPr>
                <w:rFonts w:hint="eastAsia" w:ascii="宋体" w:hAnsi="宋体" w:eastAsia="宋体" w:cs="宋体"/>
                <w:b w:val="0"/>
                <w:color w:val="auto"/>
                <w:sz w:val="24"/>
                <w:highlight w:val="none"/>
              </w:rPr>
              <w:t>日</w:t>
            </w:r>
            <w:r>
              <w:rPr>
                <w:rFonts w:hint="eastAsia" w:ascii="宋体" w:hAnsi="宋体" w:eastAsia="宋体" w:cs="宋体"/>
                <w:b w:val="0"/>
                <w:color w:val="auto"/>
                <w:sz w:val="24"/>
                <w:highlight w:val="none"/>
                <w:u w:val="single"/>
                <w:lang w:val="en-US" w:eastAsia="zh-CN"/>
              </w:rPr>
              <w:t>17</w:t>
            </w:r>
            <w:r>
              <w:rPr>
                <w:rFonts w:hint="eastAsia" w:ascii="宋体" w:hAnsi="宋体" w:eastAsia="宋体" w:cs="宋体"/>
                <w:b w:val="0"/>
                <w:color w:val="auto"/>
                <w:sz w:val="24"/>
                <w:highlight w:val="none"/>
              </w:rPr>
              <w:t>时</w:t>
            </w:r>
            <w:r>
              <w:rPr>
                <w:rFonts w:hint="eastAsia" w:ascii="宋体" w:hAnsi="宋体" w:eastAsia="宋体" w:cs="宋体"/>
                <w:b w:val="0"/>
                <w:color w:val="auto"/>
                <w:sz w:val="24"/>
                <w:highlight w:val="none"/>
                <w:u w:val="single"/>
                <w:lang w:val="en-US" w:eastAsia="zh-CN"/>
              </w:rPr>
              <w:t>00</w:t>
            </w:r>
            <w:r>
              <w:rPr>
                <w:rFonts w:hint="eastAsia" w:ascii="宋体" w:hAnsi="宋体" w:eastAsia="宋体" w:cs="宋体"/>
                <w:b w:val="0"/>
                <w:color w:val="auto"/>
                <w:sz w:val="24"/>
                <w:highlight w:val="none"/>
              </w:rPr>
              <w:t>分</w:t>
            </w:r>
          </w:p>
        </w:tc>
      </w:tr>
      <w:tr w14:paraId="0AF7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6289DA1E">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7</w:t>
            </w:r>
            <w:r>
              <w:rPr>
                <w:rFonts w:hint="eastAsia" w:ascii="宋体" w:hAnsi="宋体" w:eastAsia="宋体" w:cs="宋体"/>
                <w:bCs/>
                <w:color w:val="auto"/>
                <w:kern w:val="2"/>
                <w:highlight w:val="none"/>
              </w:rPr>
              <w:t>.1</w:t>
            </w:r>
          </w:p>
        </w:tc>
        <w:tc>
          <w:tcPr>
            <w:tcW w:w="1134" w:type="pct"/>
            <w:vAlign w:val="center"/>
          </w:tcPr>
          <w:p w14:paraId="36403D50">
            <w:pPr>
              <w:pStyle w:val="42"/>
              <w:widowControl w:val="0"/>
              <w:spacing w:before="0" w:beforeAutospacing="0" w:after="0" w:afterAutospacing="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3306" w:type="pct"/>
            <w:vAlign w:val="center"/>
          </w:tcPr>
          <w:p w14:paraId="28079EE9">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rPr>
              <w:t xml:space="preserve">不分包     </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分为  个包</w:t>
            </w:r>
          </w:p>
          <w:p w14:paraId="3275D89F">
            <w:pPr>
              <w:pStyle w:val="42"/>
              <w:widowControl w:val="0"/>
              <w:spacing w:before="0" w:beforeAutospacing="0" w:after="0" w:afterAutospacing="0"/>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投标人对多个包进行投标的中标包数规定：</w:t>
            </w:r>
            <w:r>
              <w:rPr>
                <w:rFonts w:hint="eastAsia" w:ascii="宋体" w:hAnsi="宋体" w:eastAsia="宋体" w:cs="宋体"/>
                <w:b w:val="0"/>
                <w:bCs w:val="0"/>
                <w:color w:val="auto"/>
                <w:sz w:val="24"/>
                <w:szCs w:val="18"/>
                <w:highlight w:val="none"/>
                <w:u w:val="single"/>
              </w:rPr>
              <w:t xml:space="preserve">        </w:t>
            </w:r>
          </w:p>
        </w:tc>
      </w:tr>
      <w:tr w14:paraId="2B2C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59" w:type="pct"/>
            <w:vAlign w:val="center"/>
          </w:tcPr>
          <w:p w14:paraId="45D0E10A">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.1</w:t>
            </w:r>
          </w:p>
        </w:tc>
        <w:tc>
          <w:tcPr>
            <w:tcW w:w="1134" w:type="pct"/>
            <w:vAlign w:val="center"/>
          </w:tcPr>
          <w:p w14:paraId="2017BB34">
            <w:pPr>
              <w:pStyle w:val="4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3306" w:type="pct"/>
            <w:vAlign w:val="center"/>
          </w:tcPr>
          <w:p w14:paraId="6588D2CD">
            <w:pPr>
              <w:spacing w:line="360" w:lineRule="auto"/>
              <w:rPr>
                <w:rFonts w:hint="eastAsia" w:ascii="宋体" w:hAnsi="宋体" w:eastAsia="宋体" w:cs="宋体"/>
                <w:color w:val="auto"/>
                <w:highlight w:val="none"/>
              </w:rPr>
            </w:pPr>
            <w:r>
              <w:rPr>
                <w:rFonts w:hint="eastAsia" w:ascii="宋体" w:hAnsi="宋体" w:eastAsia="宋体" w:cs="宋体"/>
                <w:bCs/>
                <w:color w:val="auto"/>
                <w:kern w:val="0"/>
                <w:sz w:val="24"/>
                <w:szCs w:val="28"/>
                <w:highlight w:val="none"/>
              </w:rPr>
              <w:t>不收取</w:t>
            </w:r>
          </w:p>
        </w:tc>
      </w:tr>
      <w:tr w14:paraId="16ED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6A83AF04">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1134" w:type="pct"/>
            <w:vAlign w:val="center"/>
          </w:tcPr>
          <w:p w14:paraId="7FE837FD">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3306" w:type="pct"/>
            <w:vAlign w:val="center"/>
          </w:tcPr>
          <w:p w14:paraId="4206C4BA">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60</w:t>
            </w:r>
            <w:r>
              <w:rPr>
                <w:rFonts w:hint="eastAsia" w:ascii="宋体" w:hAnsi="宋体" w:eastAsia="宋体" w:cs="宋体"/>
                <w:b w:val="0"/>
                <w:color w:val="auto"/>
                <w:sz w:val="24"/>
                <w:highlight w:val="none"/>
              </w:rPr>
              <w:t>日历日</w:t>
            </w:r>
          </w:p>
        </w:tc>
      </w:tr>
      <w:tr w14:paraId="531A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59330160">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1134" w:type="pct"/>
            <w:vAlign w:val="center"/>
          </w:tcPr>
          <w:p w14:paraId="36DD4BFF">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资格审查</w:t>
            </w:r>
          </w:p>
        </w:tc>
        <w:tc>
          <w:tcPr>
            <w:tcW w:w="3306" w:type="pct"/>
            <w:vAlign w:val="center"/>
          </w:tcPr>
          <w:p w14:paraId="0DE4BC74">
            <w:pPr>
              <w:pStyle w:val="42"/>
              <w:widowControl w:val="0"/>
              <w:spacing w:before="0" w:beforeAutospacing="0" w:after="0" w:afterAutospacing="0"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rPr>
              <w:t>采购人审查</w:t>
            </w:r>
          </w:p>
          <w:p w14:paraId="28FBF05A">
            <w:pPr>
              <w:pStyle w:val="42"/>
              <w:widowControl w:val="0"/>
              <w:spacing w:before="0" w:beforeAutospacing="0" w:after="0" w:afterAutospacing="0" w:line="360" w:lineRule="auto"/>
              <w:jc w:val="both"/>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highlight w:val="none"/>
              </w:rPr>
              <w:t>采购人出具委托函委托采购代理机构进行审查</w:t>
            </w:r>
          </w:p>
        </w:tc>
      </w:tr>
      <w:tr w14:paraId="10B0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327AED45">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.2</w:t>
            </w:r>
          </w:p>
        </w:tc>
        <w:tc>
          <w:tcPr>
            <w:tcW w:w="1134" w:type="pct"/>
            <w:vAlign w:val="center"/>
          </w:tcPr>
          <w:p w14:paraId="0447AB8F">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评标方法</w:t>
            </w:r>
          </w:p>
        </w:tc>
        <w:tc>
          <w:tcPr>
            <w:tcW w:w="3306" w:type="pct"/>
            <w:vAlign w:val="center"/>
          </w:tcPr>
          <w:p w14:paraId="65BA9906">
            <w:pPr>
              <w:pStyle w:val="42"/>
              <w:widowControl w:val="0"/>
              <w:spacing w:before="0" w:beforeAutospacing="0" w:after="0" w:afterAutospacing="0" w:line="360" w:lineRule="auto"/>
              <w:jc w:val="both"/>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u w:val="none"/>
              </w:rPr>
              <w:t>最低评标价法</w:t>
            </w:r>
          </w:p>
          <w:p w14:paraId="31CAF6E8">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highlight w:val="none"/>
                <w:u w:val="none"/>
              </w:rPr>
              <w:t>综合评分法</w:t>
            </w:r>
          </w:p>
        </w:tc>
      </w:tr>
      <w:tr w14:paraId="7400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790D7113">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1134" w:type="pct"/>
            <w:vAlign w:val="center"/>
          </w:tcPr>
          <w:p w14:paraId="1E2D4957">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3306" w:type="pct"/>
            <w:vAlign w:val="center"/>
          </w:tcPr>
          <w:p w14:paraId="23ADC07C">
            <w:pPr>
              <w:pStyle w:val="42"/>
              <w:widowControl w:val="0"/>
              <w:spacing w:before="0" w:beforeAutospacing="0" w:after="0" w:afterAutospacing="0" w:line="360" w:lineRule="auto"/>
              <w:jc w:val="both"/>
              <w:rPr>
                <w:rFonts w:hint="eastAsia" w:ascii="宋体" w:hAnsi="宋体" w:eastAsia="宋体" w:cs="宋体"/>
                <w:b w:val="0"/>
                <w:color w:val="auto"/>
                <w:sz w:val="24"/>
                <w:highlight w:val="none"/>
                <w:u w:val="single"/>
                <w:lang w:val="en-US"/>
              </w:rPr>
            </w:pPr>
            <w:r>
              <w:rPr>
                <w:rFonts w:hint="eastAsia" w:ascii="宋体" w:hAnsi="宋体" w:eastAsia="宋体" w:cs="宋体"/>
                <w:b w:val="0"/>
                <w:color w:val="auto"/>
                <w:sz w:val="24"/>
                <w:highlight w:val="none"/>
                <w:u w:val="single"/>
                <w:lang w:val="en-US" w:eastAsia="zh-CN"/>
              </w:rPr>
              <w:t>3家</w:t>
            </w:r>
          </w:p>
        </w:tc>
      </w:tr>
      <w:tr w14:paraId="7CD4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4F108C47">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.2</w:t>
            </w:r>
          </w:p>
        </w:tc>
        <w:tc>
          <w:tcPr>
            <w:tcW w:w="1134" w:type="pct"/>
            <w:vAlign w:val="center"/>
          </w:tcPr>
          <w:p w14:paraId="1B9140EC">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3306" w:type="pct"/>
            <w:vAlign w:val="center"/>
          </w:tcPr>
          <w:p w14:paraId="4D1AD03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采购人委托评标委员会确定</w:t>
            </w:r>
          </w:p>
          <w:p w14:paraId="2D9F574F">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kern w:val="2"/>
                <w:sz w:val="24"/>
                <w:szCs w:val="24"/>
                <w:highlight w:val="none"/>
              </w:rPr>
              <w:t>□采购人确定</w:t>
            </w:r>
          </w:p>
        </w:tc>
      </w:tr>
      <w:tr w14:paraId="3DF2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7F3DCE4A">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1134" w:type="pct"/>
            <w:vAlign w:val="center"/>
          </w:tcPr>
          <w:p w14:paraId="2EB7C56E">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3306" w:type="pct"/>
            <w:vAlign w:val="center"/>
          </w:tcPr>
          <w:p w14:paraId="0847A7B5">
            <w:pPr>
              <w:pStyle w:val="42"/>
              <w:widowControl w:val="0"/>
              <w:spacing w:before="0" w:beforeAutospacing="0" w:after="0" w:afterAutospacing="0" w:line="360"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A8"/>
            </w:r>
            <w:r>
              <w:rPr>
                <w:rFonts w:hint="eastAsia" w:ascii="宋体" w:hAnsi="宋体" w:eastAsia="宋体" w:cs="宋体"/>
                <w:b w:val="0"/>
                <w:bCs w:val="0"/>
                <w:color w:val="auto"/>
                <w:sz w:val="24"/>
                <w:szCs w:val="24"/>
                <w:highlight w:val="none"/>
              </w:rPr>
              <w:t>数据电文</w:t>
            </w:r>
          </w:p>
        </w:tc>
      </w:tr>
      <w:tr w14:paraId="4FBF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73752355">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25</w:t>
            </w:r>
            <w:r>
              <w:rPr>
                <w:rFonts w:hint="eastAsia" w:ascii="宋体" w:hAnsi="宋体" w:eastAsia="宋体" w:cs="宋体"/>
                <w:bCs/>
                <w:color w:val="auto"/>
                <w:kern w:val="2"/>
                <w:highlight w:val="none"/>
              </w:rPr>
              <w:t>.1</w:t>
            </w:r>
          </w:p>
        </w:tc>
        <w:tc>
          <w:tcPr>
            <w:tcW w:w="1134" w:type="pct"/>
            <w:vAlign w:val="center"/>
          </w:tcPr>
          <w:p w14:paraId="5372A5AC">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3306" w:type="pct"/>
            <w:vAlign w:val="center"/>
          </w:tcPr>
          <w:p w14:paraId="7222A252">
            <w:pPr>
              <w:pStyle w:val="42"/>
              <w:widowControl w:val="0"/>
              <w:spacing w:before="0" w:beforeAutospacing="0" w:after="0" w:afterAutospacing="0" w:line="360" w:lineRule="auto"/>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0"/>
                <w:sz w:val="24"/>
                <w:szCs w:val="24"/>
                <w:highlight w:val="none"/>
              </w:rPr>
              <w:t>投标人自行在滁州市第一人民医院官网查看</w:t>
            </w:r>
          </w:p>
        </w:tc>
      </w:tr>
      <w:tr w14:paraId="2D0E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7" w:hRule="atLeast"/>
        </w:trPr>
        <w:tc>
          <w:tcPr>
            <w:tcW w:w="559" w:type="pct"/>
            <w:vAlign w:val="center"/>
          </w:tcPr>
          <w:p w14:paraId="54F9813F">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26</w:t>
            </w:r>
            <w:r>
              <w:rPr>
                <w:rFonts w:hint="eastAsia" w:ascii="宋体" w:hAnsi="宋体" w:eastAsia="宋体" w:cs="宋体"/>
                <w:bCs/>
                <w:color w:val="auto"/>
                <w:kern w:val="2"/>
                <w:highlight w:val="none"/>
              </w:rPr>
              <w:t>.1</w:t>
            </w:r>
          </w:p>
        </w:tc>
        <w:tc>
          <w:tcPr>
            <w:tcW w:w="1134" w:type="pct"/>
            <w:vAlign w:val="center"/>
          </w:tcPr>
          <w:p w14:paraId="0A8C3808">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3306" w:type="pct"/>
          </w:tcPr>
          <w:p w14:paraId="3F319065">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018A6590">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免收</w:t>
            </w:r>
          </w:p>
          <w:p w14:paraId="2F152312">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□合同价的</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rPr>
              <w:t>%</w:t>
            </w:r>
          </w:p>
          <w:p w14:paraId="77F3855C">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□定额收取：人民币</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rPr>
              <w:t>元</w:t>
            </w:r>
          </w:p>
          <w:p w14:paraId="73B7B305">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（2）支付方式：</w:t>
            </w:r>
          </w:p>
          <w:p w14:paraId="6700B13E">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转账/电汇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支票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汇票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本票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保险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保函</w:t>
            </w:r>
          </w:p>
          <w:p w14:paraId="6CC100A9">
            <w:pPr>
              <w:numPr>
                <w:ilvl w:val="0"/>
                <w:numId w:val="0"/>
              </w:num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3</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收取单位：</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rPr>
              <w:t xml:space="preserve">              </w:t>
            </w:r>
          </w:p>
          <w:p w14:paraId="2F3EC6D0">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val="en-US" w:eastAsia="zh-CN"/>
              </w:rPr>
              <w:t>（4）收取账号：</w:t>
            </w:r>
            <w:r>
              <w:rPr>
                <w:rFonts w:hint="eastAsia" w:ascii="宋体" w:hAnsi="宋体" w:eastAsia="宋体" w:cs="宋体"/>
                <w:bCs/>
                <w:color w:val="auto"/>
                <w:kern w:val="0"/>
                <w:sz w:val="24"/>
                <w:szCs w:val="28"/>
                <w:highlight w:val="none"/>
                <w:u w:val="single"/>
              </w:rPr>
              <w:t xml:space="preserve">              </w:t>
            </w:r>
          </w:p>
          <w:p w14:paraId="63D3F0E2">
            <w:pPr>
              <w:spacing w:line="360" w:lineRule="auto"/>
              <w:rPr>
                <w:rFonts w:hint="eastAsia" w:ascii="宋体" w:hAnsi="宋体" w:eastAsia="宋体" w:cs="宋体"/>
                <w:color w:val="auto"/>
                <w:sz w:val="24"/>
                <w:highlight w:val="none"/>
              </w:rPr>
            </w:pPr>
            <w:r>
              <w:rPr>
                <w:rFonts w:hint="eastAsia" w:ascii="宋体" w:hAnsi="宋体" w:eastAsia="宋体" w:cs="宋体"/>
                <w:bCs/>
                <w:color w:val="auto"/>
                <w:kern w:val="0"/>
                <w:sz w:val="24"/>
                <w:szCs w:val="28"/>
                <w:highlight w:val="none"/>
              </w:rPr>
              <w:t>（</w:t>
            </w:r>
            <w:r>
              <w:rPr>
                <w:rFonts w:hint="eastAsia" w:ascii="宋体" w:hAnsi="宋体" w:eastAsia="宋体" w:cs="宋体"/>
                <w:bCs/>
                <w:color w:val="auto"/>
                <w:kern w:val="0"/>
                <w:sz w:val="24"/>
                <w:szCs w:val="28"/>
                <w:highlight w:val="none"/>
                <w:lang w:val="en-US" w:eastAsia="zh-CN"/>
              </w:rPr>
              <w:t>5</w:t>
            </w:r>
            <w:r>
              <w:rPr>
                <w:rFonts w:hint="eastAsia" w:ascii="宋体" w:hAnsi="宋体" w:eastAsia="宋体" w:cs="宋体"/>
                <w:bCs/>
                <w:color w:val="auto"/>
                <w:kern w:val="0"/>
                <w:sz w:val="24"/>
                <w:szCs w:val="28"/>
                <w:highlight w:val="none"/>
              </w:rPr>
              <w:t>）</w:t>
            </w:r>
            <w:r>
              <w:rPr>
                <w:rFonts w:hint="eastAsia" w:ascii="宋体" w:hAnsi="宋体" w:eastAsia="宋体" w:cs="宋体"/>
                <w:color w:val="auto"/>
                <w:sz w:val="24"/>
                <w:highlight w:val="none"/>
              </w:rPr>
              <w:t>退还时间：</w:t>
            </w:r>
            <w:r>
              <w:rPr>
                <w:rFonts w:hint="eastAsia" w:ascii="宋体" w:hAnsi="宋体" w:eastAsia="宋体" w:cs="宋体"/>
                <w:bCs/>
                <w:color w:val="auto"/>
                <w:kern w:val="0"/>
                <w:sz w:val="24"/>
                <w:szCs w:val="28"/>
                <w:highlight w:val="none"/>
                <w:u w:val="single"/>
              </w:rPr>
              <w:t xml:space="preserve">              </w:t>
            </w:r>
          </w:p>
          <w:p w14:paraId="740E23AF">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34D56225">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1E0E062C">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tc>
      </w:tr>
      <w:tr w14:paraId="4CA3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59" w:type="pct"/>
            <w:vAlign w:val="center"/>
          </w:tcPr>
          <w:p w14:paraId="5EEBF92A">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27</w:t>
            </w:r>
            <w:r>
              <w:rPr>
                <w:rFonts w:hint="eastAsia" w:ascii="宋体" w:hAnsi="宋体" w:eastAsia="宋体" w:cs="宋体"/>
                <w:bCs/>
                <w:color w:val="auto"/>
                <w:kern w:val="2"/>
                <w:highlight w:val="none"/>
              </w:rPr>
              <w:t>.1</w:t>
            </w:r>
          </w:p>
        </w:tc>
        <w:tc>
          <w:tcPr>
            <w:tcW w:w="1134" w:type="pct"/>
            <w:vAlign w:val="center"/>
          </w:tcPr>
          <w:p w14:paraId="19578DE0">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签订合同</w:t>
            </w:r>
          </w:p>
        </w:tc>
        <w:tc>
          <w:tcPr>
            <w:tcW w:w="3306" w:type="pct"/>
          </w:tcPr>
          <w:p w14:paraId="5542B1B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（1）采购人与中标人应当自发出中标通知书之日起7个工作日内签订合同。</w:t>
            </w:r>
          </w:p>
          <w:p w14:paraId="7558F51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kern w:val="0"/>
                <w:sz w:val="24"/>
                <w:szCs w:val="24"/>
                <w:highlight w:val="none"/>
                <w:lang w:val="en-US"/>
              </w:rPr>
            </w:pPr>
            <w:r>
              <w:rPr>
                <w:rFonts w:hint="eastAsia" w:ascii="宋体" w:hAnsi="宋体" w:eastAsia="宋体" w:cs="宋体"/>
                <w:sz w:val="24"/>
                <w:szCs w:val="24"/>
              </w:rPr>
              <w:t>（2）采购人与中标人不得擅自变更合同。</w:t>
            </w:r>
          </w:p>
        </w:tc>
      </w:tr>
      <w:tr w14:paraId="7925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0BAF4364">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28</w:t>
            </w:r>
            <w:r>
              <w:rPr>
                <w:rFonts w:hint="eastAsia" w:ascii="宋体" w:hAnsi="宋体" w:eastAsia="宋体" w:cs="宋体"/>
                <w:bCs/>
                <w:color w:val="auto"/>
                <w:kern w:val="2"/>
                <w:highlight w:val="none"/>
              </w:rPr>
              <w:t>.1</w:t>
            </w:r>
          </w:p>
        </w:tc>
        <w:tc>
          <w:tcPr>
            <w:tcW w:w="1134" w:type="pct"/>
            <w:vAlign w:val="center"/>
          </w:tcPr>
          <w:p w14:paraId="690ABA2E">
            <w:pPr>
              <w:pStyle w:val="42"/>
              <w:widowControl w:val="0"/>
              <w:spacing w:before="0" w:beforeAutospacing="0" w:after="0" w:afterAutospacing="0" w:line="360" w:lineRule="auto"/>
              <w:jc w:val="both"/>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val="en-US" w:eastAsia="zh-CN"/>
              </w:rPr>
              <w:t>代理费用</w:t>
            </w:r>
          </w:p>
        </w:tc>
        <w:tc>
          <w:tcPr>
            <w:tcW w:w="3306" w:type="pct"/>
            <w:vAlign w:val="center"/>
          </w:tcPr>
          <w:p w14:paraId="24E99DFC">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cs="宋体"/>
                <w:sz w:val="24"/>
                <w:szCs w:val="24"/>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1</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yellow"/>
              </w:rPr>
              <w:t>收费对象</w:t>
            </w:r>
            <w:r>
              <w:rPr>
                <w:rFonts w:hint="eastAsia" w:ascii="宋体" w:hAnsi="宋体" w:eastAsia="宋体" w:cs="宋体"/>
                <w:spacing w:val="-12"/>
                <w:sz w:val="24"/>
                <w:szCs w:val="24"/>
                <w:highlight w:val="yellow"/>
              </w:rPr>
              <w:t>：</w:t>
            </w:r>
            <w:r>
              <w:rPr>
                <w:rFonts w:hint="eastAsia" w:ascii="宋体" w:hAnsi="宋体" w:eastAsia="宋体" w:cs="宋体"/>
                <w:bCs/>
                <w:color w:val="auto"/>
                <w:kern w:val="0"/>
                <w:sz w:val="24"/>
                <w:szCs w:val="28"/>
                <w:highlight w:val="yellow"/>
              </w:rPr>
              <w:sym w:font="Wingdings" w:char="00A8"/>
            </w:r>
            <w:r>
              <w:rPr>
                <w:rFonts w:hint="eastAsia" w:ascii="宋体" w:hAnsi="宋体" w:eastAsia="宋体" w:cs="宋体"/>
                <w:spacing w:val="14"/>
                <w:sz w:val="24"/>
                <w:szCs w:val="24"/>
                <w:highlight w:val="yellow"/>
              </w:rPr>
              <w:t>采购人</w:t>
            </w:r>
            <w:r>
              <w:rPr>
                <w:rFonts w:hint="eastAsia" w:ascii="宋体" w:hAnsi="宋体" w:eastAsia="宋体" w:cs="宋体"/>
                <w:spacing w:val="14"/>
                <w:sz w:val="24"/>
                <w:szCs w:val="24"/>
                <w:highlight w:val="yellow"/>
                <w:lang w:val="en-US" w:eastAsia="zh-CN"/>
              </w:rPr>
              <w:t xml:space="preserve">   </w:t>
            </w:r>
            <w:r>
              <w:rPr>
                <w:rFonts w:hint="eastAsia" w:ascii="宋体" w:hAnsi="宋体" w:eastAsia="宋体" w:cs="宋体"/>
                <w:bCs/>
                <w:color w:val="auto"/>
                <w:kern w:val="0"/>
                <w:sz w:val="24"/>
                <w:szCs w:val="28"/>
                <w:highlight w:val="yellow"/>
              </w:rPr>
              <w:sym w:font="Wingdings" w:char="00FE"/>
            </w:r>
            <w:r>
              <w:rPr>
                <w:rFonts w:hint="eastAsia" w:ascii="宋体" w:hAnsi="宋体" w:eastAsia="宋体" w:cs="宋体"/>
                <w:spacing w:val="14"/>
                <w:sz w:val="24"/>
                <w:szCs w:val="24"/>
                <w:highlight w:val="yellow"/>
              </w:rPr>
              <w:t>中标人</w:t>
            </w:r>
          </w:p>
          <w:p w14:paraId="5F3AB0D9">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（2）收取方式</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现金或转账</w:t>
            </w:r>
          </w:p>
          <w:p w14:paraId="6A952B05">
            <w:pPr>
              <w:pStyle w:val="4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color w:val="auto"/>
                <w:sz w:val="24"/>
                <w:highlight w:val="yellow"/>
              </w:rPr>
            </w:pPr>
            <w:r>
              <w:rPr>
                <w:rFonts w:hint="eastAsia" w:ascii="宋体" w:hAnsi="宋体" w:eastAsia="宋体" w:cs="宋体"/>
                <w:b w:val="0"/>
                <w:bCs w:val="0"/>
                <w:color w:val="auto"/>
                <w:kern w:val="0"/>
                <w:sz w:val="24"/>
                <w:szCs w:val="28"/>
                <w:highlight w:val="none"/>
              </w:rPr>
              <w:t>（3）</w:t>
            </w:r>
            <w:r>
              <w:rPr>
                <w:rFonts w:hint="eastAsia" w:ascii="宋体" w:hAnsi="宋体" w:eastAsia="宋体" w:cs="宋体"/>
                <w:b w:val="0"/>
                <w:bCs/>
                <w:color w:val="auto"/>
                <w:kern w:val="0"/>
                <w:sz w:val="24"/>
                <w:szCs w:val="28"/>
                <w:highlight w:val="yellow"/>
                <w:lang w:val="en-US" w:eastAsia="zh-CN" w:bidi="ar-SA"/>
              </w:rPr>
              <w:t>收费标准：</w:t>
            </w:r>
            <w:r>
              <w:rPr>
                <w:rFonts w:hint="eastAsia" w:ascii="宋体" w:hAnsi="宋体" w:eastAsia="宋体" w:cs="宋体"/>
                <w:sz w:val="24"/>
                <w:szCs w:val="24"/>
                <w:highlight w:val="yellow"/>
                <w:u w:val="single" w:color="auto"/>
                <w:lang w:val="en-US" w:eastAsia="zh-CN"/>
              </w:rPr>
              <w:t>750</w:t>
            </w:r>
            <w:r>
              <w:rPr>
                <w:rFonts w:hint="eastAsia" w:ascii="宋体" w:hAnsi="宋体" w:eastAsia="宋体" w:cs="宋体"/>
                <w:sz w:val="24"/>
                <w:szCs w:val="24"/>
                <w:highlight w:val="yellow"/>
                <w:u w:val="single" w:color="auto"/>
              </w:rPr>
              <w:t xml:space="preserve">元（评审费另计，以实际发生为准） </w:t>
            </w:r>
          </w:p>
        </w:tc>
      </w:tr>
      <w:tr w14:paraId="520D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483C6103">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3</w:t>
            </w:r>
          </w:p>
        </w:tc>
        <w:tc>
          <w:tcPr>
            <w:tcW w:w="1134" w:type="pct"/>
            <w:vAlign w:val="center"/>
          </w:tcPr>
          <w:p w14:paraId="43941424">
            <w:pPr>
              <w:pStyle w:val="42"/>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3306" w:type="pct"/>
            <w:vAlign w:val="center"/>
          </w:tcPr>
          <w:p w14:paraId="6E9124E2">
            <w:pPr>
              <w:keepNext w:val="0"/>
              <w:keepLines w:val="0"/>
              <w:widowControl/>
              <w:suppressLineNumbers w:val="0"/>
              <w:jc w:val="left"/>
              <w:rPr>
                <w:rFonts w:hint="eastAsia" w:ascii="宋体" w:hAnsi="宋体" w:eastAsia="宋体" w:cs="宋体"/>
                <w:b w:val="0"/>
                <w:bCs w:val="0"/>
                <w:u w:val="single"/>
              </w:rPr>
            </w:pPr>
            <w:r>
              <w:rPr>
                <w:rFonts w:hint="eastAsia" w:ascii="宋体" w:hAnsi="宋体" w:eastAsia="宋体" w:cs="宋体"/>
                <w:b w:val="0"/>
                <w:color w:val="auto"/>
                <w:sz w:val="24"/>
                <w:highlight w:val="none"/>
              </w:rPr>
              <w:t>递交方式：</w:t>
            </w:r>
            <w:r>
              <w:rPr>
                <w:rFonts w:hint="eastAsia" w:ascii="宋体" w:hAnsi="宋体" w:eastAsia="宋体" w:cs="宋体"/>
                <w:b w:val="0"/>
                <w:bCs w:val="0"/>
                <w:color w:val="000000"/>
                <w:kern w:val="0"/>
                <w:sz w:val="24"/>
                <w:szCs w:val="24"/>
                <w:u w:val="single"/>
                <w:lang w:val="en-US" w:eastAsia="zh-CN"/>
              </w:rPr>
              <w:t>投标人通过书面形式提出，一份质疑函只能针对一个项目提出质疑，且针对同一采购程序环节的质疑应当一次性提出。</w:t>
            </w:r>
          </w:p>
          <w:p w14:paraId="77B5D37F">
            <w:pPr>
              <w:pStyle w:val="42"/>
              <w:widowControl w:val="0"/>
              <w:spacing w:before="0" w:beforeAutospacing="0" w:after="0" w:afterAutospacing="0" w:line="360" w:lineRule="auto"/>
              <w:jc w:val="both"/>
              <w:rPr>
                <w:rFonts w:hint="eastAsia"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接收部门：</w:t>
            </w:r>
            <w:r>
              <w:rPr>
                <w:rFonts w:hint="eastAsia" w:ascii="宋体" w:hAnsi="宋体" w:eastAsia="宋体" w:cs="宋体"/>
                <w:b w:val="0"/>
                <w:color w:val="auto"/>
                <w:sz w:val="24"/>
                <w:highlight w:val="none"/>
                <w:u w:val="single"/>
                <w:lang w:val="en-US" w:eastAsia="zh-CN"/>
              </w:rPr>
              <w:t>滁州市第一人民医院或江苏川页工程项目管理有限公司</w:t>
            </w:r>
          </w:p>
          <w:p w14:paraId="34D13ACD">
            <w:pPr>
              <w:pStyle w:val="42"/>
              <w:widowControl w:val="0"/>
              <w:spacing w:before="0" w:beforeAutospacing="0" w:after="0" w:afterAutospacing="0" w:line="360" w:lineRule="auto"/>
              <w:jc w:val="both"/>
              <w:rPr>
                <w:rFonts w:hint="eastAsia"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联系电话：</w:t>
            </w:r>
            <w:r>
              <w:rPr>
                <w:rFonts w:hint="eastAsia" w:ascii="宋体" w:hAnsi="宋体" w:eastAsia="宋体" w:cs="宋体"/>
                <w:b w:val="0"/>
                <w:color w:val="auto"/>
                <w:sz w:val="24"/>
                <w:highlight w:val="none"/>
                <w:u w:val="single"/>
                <w:lang w:val="en-US" w:eastAsia="zh-CN"/>
              </w:rPr>
              <w:t>0550-3526032或18755018236</w:t>
            </w:r>
          </w:p>
          <w:p w14:paraId="6208E06B">
            <w:pPr>
              <w:pStyle w:val="42"/>
              <w:widowControl w:val="0"/>
              <w:spacing w:before="0" w:beforeAutospacing="0" w:after="0" w:afterAutospacing="0" w:line="360" w:lineRule="auto"/>
              <w:jc w:val="both"/>
              <w:rPr>
                <w:rFonts w:hint="eastAsia"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rPr>
              <w:t>通讯地址：</w:t>
            </w:r>
            <w:r>
              <w:rPr>
                <w:rFonts w:hint="eastAsia" w:ascii="宋体" w:hAnsi="宋体" w:eastAsia="宋体" w:cs="宋体"/>
                <w:b w:val="0"/>
                <w:color w:val="auto"/>
                <w:sz w:val="24"/>
                <w:highlight w:val="none"/>
                <w:u w:val="single"/>
                <w:lang w:val="en-US" w:eastAsia="zh-CN"/>
              </w:rPr>
              <w:t>滁州市醉翁西路369号或滁州市世贸大厦A座18楼1818室</w:t>
            </w:r>
          </w:p>
        </w:tc>
      </w:tr>
      <w:tr w14:paraId="3464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34A40B74">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32</w:t>
            </w:r>
          </w:p>
        </w:tc>
        <w:tc>
          <w:tcPr>
            <w:tcW w:w="1134" w:type="pct"/>
            <w:vAlign w:val="center"/>
          </w:tcPr>
          <w:p w14:paraId="69BF51F5">
            <w:pPr>
              <w:pStyle w:val="42"/>
              <w:widowControl w:val="0"/>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其他内容</w:t>
            </w:r>
          </w:p>
        </w:tc>
        <w:tc>
          <w:tcPr>
            <w:tcW w:w="3306" w:type="pct"/>
            <w:vAlign w:val="center"/>
          </w:tcPr>
          <w:p w14:paraId="07039EF0">
            <w:pPr>
              <w:pStyle w:val="42"/>
              <w:widowControl w:val="0"/>
              <w:numPr>
                <w:ilvl w:val="0"/>
                <w:numId w:val="0"/>
              </w:numPr>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1、解释权：</w:t>
            </w:r>
          </w:p>
          <w:p w14:paraId="2DEE861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02D9284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3551932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3F86AC0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0F260E7B">
            <w:pPr>
              <w:pStyle w:val="42"/>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（5）按本款前述规定仍不能形成结论的，由采购人负责解释。</w:t>
            </w:r>
          </w:p>
        </w:tc>
      </w:tr>
      <w:tr w14:paraId="1FFB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168A052E">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
                <w:bCs w:val="0"/>
                <w:color w:val="auto"/>
                <w:kern w:val="2"/>
                <w:highlight w:val="none"/>
                <w:lang w:val="en-US" w:eastAsia="zh-CN"/>
              </w:rPr>
              <w:t>33</w:t>
            </w:r>
          </w:p>
        </w:tc>
        <w:tc>
          <w:tcPr>
            <w:tcW w:w="1134" w:type="pct"/>
            <w:vAlign w:val="center"/>
          </w:tcPr>
          <w:p w14:paraId="5FA9CDA7">
            <w:pPr>
              <w:pStyle w:val="42"/>
              <w:widowControl w:val="0"/>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bCs w:val="0"/>
                <w:color w:val="auto"/>
                <w:sz w:val="24"/>
                <w:highlight w:val="none"/>
                <w:lang w:val="en-US" w:eastAsia="zh-CN"/>
              </w:rPr>
              <w:t>投标文件数量</w:t>
            </w:r>
          </w:p>
        </w:tc>
        <w:tc>
          <w:tcPr>
            <w:tcW w:w="3306" w:type="pct"/>
            <w:vAlign w:val="center"/>
          </w:tcPr>
          <w:p w14:paraId="201D7135">
            <w:pPr>
              <w:pStyle w:val="42"/>
              <w:widowControl w:val="0"/>
              <w:numPr>
                <w:ilvl w:val="0"/>
                <w:numId w:val="0"/>
              </w:numPr>
              <w:spacing w:before="0" w:beforeAutospacing="0" w:after="0" w:afterAutospacing="0" w:line="360" w:lineRule="auto"/>
              <w:jc w:val="both"/>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正本</w:t>
            </w:r>
            <w:r>
              <w:rPr>
                <w:rFonts w:hint="eastAsia" w:ascii="宋体" w:hAnsi="宋体" w:eastAsia="宋体" w:cs="宋体"/>
                <w:b/>
                <w:bCs w:val="0"/>
                <w:color w:val="auto"/>
                <w:sz w:val="24"/>
                <w:szCs w:val="24"/>
                <w:highlight w:val="none"/>
                <w:u w:val="single"/>
              </w:rPr>
              <w:t xml:space="preserve"> 1 </w:t>
            </w:r>
            <w:r>
              <w:rPr>
                <w:rFonts w:hint="eastAsia" w:ascii="宋体" w:hAnsi="宋体" w:eastAsia="宋体" w:cs="宋体"/>
                <w:b/>
                <w:bCs w:val="0"/>
                <w:color w:val="auto"/>
                <w:sz w:val="24"/>
                <w:szCs w:val="24"/>
                <w:highlight w:val="none"/>
              </w:rPr>
              <w:t>份，副本</w:t>
            </w:r>
            <w:r>
              <w:rPr>
                <w:rFonts w:hint="eastAsia" w:ascii="宋体" w:hAnsi="宋体" w:eastAsia="宋体" w:cs="宋体"/>
                <w:b/>
                <w:bCs w:val="0"/>
                <w:color w:val="auto"/>
                <w:sz w:val="24"/>
                <w:szCs w:val="24"/>
                <w:highlight w:val="none"/>
                <w:u w:val="single"/>
              </w:rPr>
              <w:t xml:space="preserve"> </w:t>
            </w:r>
            <w:r>
              <w:rPr>
                <w:rFonts w:hint="eastAsia" w:ascii="宋体" w:hAnsi="宋体" w:eastAsia="宋体" w:cs="宋体"/>
                <w:b/>
                <w:bCs w:val="0"/>
                <w:color w:val="auto"/>
                <w:sz w:val="24"/>
                <w:szCs w:val="24"/>
                <w:highlight w:val="none"/>
                <w:u w:val="single"/>
                <w:lang w:val="en-US" w:eastAsia="zh-CN"/>
              </w:rPr>
              <w:t>2</w:t>
            </w:r>
            <w:r>
              <w:rPr>
                <w:rFonts w:hint="eastAsia" w:ascii="宋体" w:hAnsi="宋体" w:eastAsia="宋体" w:cs="宋体"/>
                <w:b/>
                <w:bCs w:val="0"/>
                <w:color w:val="auto"/>
                <w:sz w:val="24"/>
                <w:szCs w:val="24"/>
                <w:highlight w:val="none"/>
                <w:u w:val="single"/>
              </w:rPr>
              <w:t xml:space="preserve"> </w:t>
            </w:r>
            <w:r>
              <w:rPr>
                <w:rFonts w:hint="eastAsia" w:ascii="宋体" w:hAnsi="宋体" w:eastAsia="宋体" w:cs="宋体"/>
                <w:b/>
                <w:bCs w:val="0"/>
                <w:color w:val="auto"/>
                <w:sz w:val="24"/>
                <w:szCs w:val="24"/>
                <w:highlight w:val="none"/>
              </w:rPr>
              <w:t>份</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正副本不一致时，以正本为准。</w:t>
            </w:r>
          </w:p>
          <w:p w14:paraId="62294851">
            <w:pPr>
              <w:pStyle w:val="42"/>
              <w:widowControl w:val="0"/>
              <w:numPr>
                <w:ilvl w:val="0"/>
                <w:numId w:val="0"/>
              </w:numPr>
              <w:spacing w:before="0" w:beforeAutospacing="0" w:after="0" w:afterAutospacing="0" w:line="360" w:lineRule="auto"/>
              <w:jc w:val="both"/>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注：中标单位需在领取中标通知书时提供与投标文件一致的电子档投标文件。</w:t>
            </w:r>
          </w:p>
        </w:tc>
      </w:tr>
      <w:tr w14:paraId="4C9A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07176F6D">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
                <w:bCs w:val="0"/>
                <w:color w:val="auto"/>
                <w:kern w:val="2"/>
                <w:highlight w:val="none"/>
                <w:lang w:val="en-US" w:eastAsia="zh-CN"/>
              </w:rPr>
              <w:t>34</w:t>
            </w:r>
          </w:p>
        </w:tc>
        <w:tc>
          <w:tcPr>
            <w:tcW w:w="1134" w:type="pct"/>
            <w:vAlign w:val="center"/>
          </w:tcPr>
          <w:p w14:paraId="082F6249">
            <w:pPr>
              <w:pStyle w:val="42"/>
              <w:widowControl w:val="0"/>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bCs w:val="0"/>
                <w:color w:val="auto"/>
                <w:sz w:val="24"/>
                <w:highlight w:val="none"/>
                <w:lang w:val="en-US" w:eastAsia="zh-CN"/>
              </w:rPr>
              <w:t>签字或盖章及密封要求</w:t>
            </w:r>
          </w:p>
        </w:tc>
        <w:tc>
          <w:tcPr>
            <w:tcW w:w="3306" w:type="pct"/>
            <w:vAlign w:val="center"/>
          </w:tcPr>
          <w:p w14:paraId="5098965C">
            <w:pPr>
              <w:pStyle w:val="42"/>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一正两副装订成册，密封在档案袋中，档案袋封面注明项目名称、单位、联系人及联系方式</w:t>
            </w:r>
          </w:p>
        </w:tc>
      </w:tr>
    </w:tbl>
    <w:p w14:paraId="369F4067">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1" w:name="_Toc9427"/>
      <w:bookmarkStart w:id="22" w:name="_Toc24882"/>
      <w:r>
        <w:rPr>
          <w:rFonts w:hint="eastAsia" w:ascii="宋体" w:hAnsi="宋体" w:eastAsia="宋体" w:cs="宋体"/>
          <w:b/>
          <w:color w:val="auto"/>
          <w:sz w:val="24"/>
          <w:highlight w:val="none"/>
        </w:rPr>
        <w:t>二、投标人须知正文</w:t>
      </w:r>
      <w:bookmarkEnd w:id="21"/>
      <w:bookmarkEnd w:id="22"/>
    </w:p>
    <w:p w14:paraId="005193FF">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1.采购人、采购代理机构及投标人</w:t>
      </w:r>
    </w:p>
    <w:p w14:paraId="05D1AEE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2D6E07B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.2采购代理机构：是指集中采购机构或从事采购代理业务的社会中介机构。</w:t>
      </w:r>
    </w:p>
    <w:p w14:paraId="0DD9D610">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1.3政府采购监督管理部门：各级人民政府指定的有关部门依法履行与政府采购活动有关的监督管理职责。</w:t>
      </w:r>
    </w:p>
    <w:p w14:paraId="06911AE3">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投标人：投标人：是指向采购人提供货物、工程或者服务的法人、其他组织或者自然人。分支机构不得参加政府采购活动，但银行、保险、石油石化、电力、电信等特殊行业除外。本项目的投标人须满足以下条件：</w:t>
      </w:r>
    </w:p>
    <w:p w14:paraId="247686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34CC110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以采购代理机构认可的方式获得了本项目的招标文件。</w:t>
      </w:r>
    </w:p>
    <w:p w14:paraId="20B80BE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5若招标公告中允许联合体投标，对联合体规定如下：</w:t>
      </w:r>
    </w:p>
    <w:p w14:paraId="32E27B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5.1两个以上供应商可以组成一个投标联合体，以一个投标人的身份投标。</w:t>
      </w:r>
      <w:r>
        <w:rPr>
          <w:rFonts w:hint="eastAsia" w:ascii="宋体" w:hAnsi="宋体" w:eastAsia="宋体" w:cs="宋体"/>
          <w:b w:val="0"/>
          <w:color w:val="auto"/>
          <w:sz w:val="24"/>
          <w:highlight w:val="none"/>
        </w:rPr>
        <w:t>联合体投标的，招标文件获取手续由联合体中任一成员单位办理均可。</w:t>
      </w:r>
    </w:p>
    <w:p w14:paraId="5A07FA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1C3560B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5.3采购人根据采购项目对投标人的特殊要求，联合体中至少应当有一方符合相关规定。</w:t>
      </w:r>
    </w:p>
    <w:p w14:paraId="72EB6A7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5.4联合体各方应签订联合协议，明确约定联合体各方承担的工作和相应的责任，并将联合协议作为投标文件的一部分提交。</w:t>
      </w:r>
    </w:p>
    <w:p w14:paraId="4B3BF93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5.5大中型企业、其他自然人、法人或者非法人组织与小型、微型企业组成联合体共同参加投标，联合协议中应写明小型、微型企业的协议合同金额占到联合协议投标总金额的比例。</w:t>
      </w:r>
    </w:p>
    <w:p w14:paraId="0F114EC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1FCE7D5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B69558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5.8对联合体投标的其他资格要求见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41DB50CA">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2.资金落实情况</w:t>
      </w:r>
    </w:p>
    <w:p w14:paraId="12B01A9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.1本项目的采购人已获得足以支付本次招标后所签订的合同项下的资金。</w:t>
      </w:r>
    </w:p>
    <w:p w14:paraId="54B4B519">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3.投标费用</w:t>
      </w:r>
    </w:p>
    <w:p w14:paraId="23F68E2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3D8DF20C">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4.适用法律</w:t>
      </w:r>
    </w:p>
    <w:p w14:paraId="067143C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本项目采购人、采购代理机构、投标人、评标委员会的相关行为均受《中华人民共和国政府采购法》、《中</w:t>
      </w:r>
      <w:r>
        <w:rPr>
          <w:rFonts w:hint="eastAsia" w:ascii="宋体" w:hAnsi="宋体" w:eastAsia="宋体" w:cs="宋体"/>
          <w:color w:val="auto"/>
          <w:sz w:val="24"/>
          <w:szCs w:val="22"/>
          <w:highlight w:val="none"/>
        </w:rPr>
        <w:t>华人民共和国政府采购法实施条例》</w:t>
      </w:r>
      <w:r>
        <w:rPr>
          <w:rFonts w:hint="eastAsia" w:ascii="宋体" w:hAnsi="宋体" w:eastAsia="宋体" w:cs="宋体"/>
          <w:color w:val="auto"/>
          <w:sz w:val="24"/>
          <w:szCs w:val="22"/>
          <w:highlight w:val="none"/>
          <w:lang w:val="en-US" w:eastAsia="zh-CN"/>
        </w:rPr>
        <w:t>及</w:t>
      </w:r>
      <w:r>
        <w:rPr>
          <w:rFonts w:hint="eastAsia" w:ascii="宋体" w:hAnsi="宋体" w:eastAsia="宋体" w:cs="宋体"/>
          <w:color w:val="auto"/>
          <w:sz w:val="24"/>
          <w:szCs w:val="22"/>
          <w:highlight w:val="none"/>
        </w:rPr>
        <w:t>本项目本级和上级财政部门、政府采购监督管理部门的政府采购有关规定的约束，其权利受到上述法律法规的保护。</w:t>
      </w:r>
    </w:p>
    <w:p w14:paraId="60B7750E">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.招标文件构成</w:t>
      </w:r>
    </w:p>
    <w:p w14:paraId="5965DB9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.1招标文件包括下列内容：</w:t>
      </w:r>
    </w:p>
    <w:p w14:paraId="2EEC204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2AD9F6C8">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44BF89C5">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7ADAF036">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50309AE1">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3712905F">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0A6FC472">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政府采购询问函和质疑函范本</w:t>
      </w:r>
    </w:p>
    <w:p w14:paraId="322D76A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b w:val="0"/>
          <w:bCs/>
          <w:color w:val="auto"/>
          <w:kern w:val="2"/>
          <w:sz w:val="24"/>
          <w:szCs w:val="22"/>
          <w:highlight w:val="none"/>
          <w:lang w:val="en-US" w:eastAsia="zh-CN" w:bidi="ar-SA"/>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D560E7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投标人应认真阅读招标文件所有的事项、格式、条款和技术规范等。</w:t>
      </w:r>
    </w:p>
    <w:p w14:paraId="101D818A">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.招标文件的澄清与修改</w:t>
      </w:r>
    </w:p>
    <w:p w14:paraId="7ABE8FB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.1投标人如对招标文件内容有疑问，必须在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规定的网上询问截止时间前以以电子邮件提交给采购代理机构（邮箱：290407638@qq.com）。</w:t>
      </w:r>
    </w:p>
    <w:p w14:paraId="5D09623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w:t>
      </w:r>
      <w:r>
        <w:rPr>
          <w:rFonts w:hint="eastAsia" w:ascii="宋体" w:hAnsi="宋体" w:eastAsia="宋体" w:cs="宋体"/>
          <w:color w:val="auto"/>
          <w:sz w:val="24"/>
          <w:highlight w:val="none"/>
        </w:rPr>
        <w:t>投标人提出的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招标文件进行澄清与修改。采购代理机构将在滁州市第一人民医院官网以发布更正公告的方式，澄清或修改招标文件，更正公告的内容作为招标文件的组成部分，对投标人起约束作用。投标人应主动上网查询。采购代理机构不承担投标人未及时关注相关信息引发的相关责任。</w:t>
      </w:r>
    </w:p>
    <w:p w14:paraId="01E392D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7879A639">
      <w:pPr>
        <w:spacing w:line="360" w:lineRule="auto"/>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2F518D7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.投标范围及投标文件中标准和计量单位的使用</w:t>
      </w:r>
    </w:p>
    <w:p w14:paraId="4F1961C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1366855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5EBEE37">
      <w:pPr>
        <w:spacing w:line="360" w:lineRule="auto"/>
        <w:ind w:firstLine="435"/>
        <w:rPr>
          <w:rFonts w:hint="eastAsia" w:ascii="宋体" w:hAnsi="宋体" w:eastAsia="宋体" w:cs="宋体"/>
          <w:color w:val="auto"/>
          <w:sz w:val="24"/>
          <w:highlight w:val="none"/>
        </w:rPr>
      </w:pPr>
      <w:bookmarkStart w:id="23" w:name="_Hlk16458980"/>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.3无论招标文件中是否要求，投标人所投货物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eastAsia="zh-CN"/>
        </w:rPr>
        <w:t>（</w:t>
      </w:r>
      <w:r>
        <w:rPr>
          <w:rFonts w:hint="eastAsia" w:ascii="宋体" w:hAnsi="宋体" w:eastAsia="宋体" w:cs="宋体"/>
          <w:i w:val="0"/>
          <w:iCs w:val="0"/>
          <w:color w:val="auto"/>
          <w:sz w:val="24"/>
          <w:highlight w:val="none"/>
          <w:u w:val="none"/>
          <w:lang w:val="en-US" w:eastAsia="zh-CN"/>
        </w:rPr>
        <w:t>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均应符合国家强制性标准。</w:t>
      </w:r>
    </w:p>
    <w:bookmarkEnd w:id="23"/>
    <w:p w14:paraId="09DA4BD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1C73D9B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.5除招标文件中有特殊要求外，投标文件中所使用的计量单位，应采用中华人民共和国法定计量单位。</w:t>
      </w:r>
    </w:p>
    <w:p w14:paraId="68D5BFF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.投标文件构成</w:t>
      </w:r>
    </w:p>
    <w:p w14:paraId="28326DF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.1投标人应完整地按招标文件提供的投标文件格式及要求编写投标文件，具体内容详见本项目投标文件格式的相关内容。</w:t>
      </w:r>
    </w:p>
    <w:p w14:paraId="5FD335C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投标人应提交招标文件要求的证明文件，证明其投标内容符合招标文件规定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该证明文件是投标文件的一部分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4" w:name="_Hlk11703583"/>
      <w:r>
        <w:rPr>
          <w:rFonts w:hint="eastAsia" w:ascii="宋体" w:hAnsi="宋体" w:eastAsia="宋体" w:cs="宋体"/>
          <w:color w:val="auto"/>
          <w:sz w:val="24"/>
          <w:highlight w:val="none"/>
          <w:lang w:val="en-US" w:eastAsia="zh-CN"/>
        </w:rPr>
        <w:t>等。</w:t>
      </w:r>
    </w:p>
    <w:bookmarkEnd w:id="24"/>
    <w:p w14:paraId="30B6F9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8.3</w:t>
      </w:r>
      <w:r>
        <w:rPr>
          <w:rFonts w:hint="eastAsia" w:ascii="宋体" w:hAnsi="宋体" w:eastAsia="宋体" w:cs="宋体"/>
          <w:color w:val="auto"/>
          <w:sz w:val="24"/>
          <w:highlight w:val="none"/>
        </w:rPr>
        <w:t>为保证公平公正，除非另有规定或说明，投标人对同一项目投标时，不得同时提供备选投标方案。</w:t>
      </w:r>
    </w:p>
    <w:p w14:paraId="6E2C301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.投标报价</w:t>
      </w:r>
    </w:p>
    <w:p w14:paraId="6263F2F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12.1投标人的报价应当包括满足本次招标全部采购需求。</w:t>
      </w:r>
      <w:r>
        <w:rPr>
          <w:rFonts w:hint="eastAsia" w:ascii="宋体" w:hAnsi="宋体" w:eastAsia="宋体" w:cs="宋体"/>
          <w:color w:val="auto"/>
          <w:sz w:val="24"/>
          <w:highlight w:val="none"/>
          <w:lang w:val="en-US" w:eastAsia="zh-CN"/>
        </w:rPr>
        <w:t>除招标文件另有规定外，</w:t>
      </w:r>
      <w:r>
        <w:rPr>
          <w:rFonts w:hint="eastAsia" w:ascii="宋体" w:hAnsi="宋体" w:eastAsia="宋体" w:cs="宋体"/>
          <w:color w:val="auto"/>
          <w:sz w:val="24"/>
          <w:highlight w:val="none"/>
        </w:rPr>
        <w:t>所有投标均应以人民币报价。投标人的投标报价应遵守《中华人民共和国价格法》。</w:t>
      </w:r>
    </w:p>
    <w:p w14:paraId="50DF9E2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56C8B1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65CAB3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86A0B8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采购人不接受具有附加条件的报价。</w:t>
      </w:r>
    </w:p>
    <w:p w14:paraId="7E9313B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.投标保证金</w:t>
      </w:r>
    </w:p>
    <w:p w14:paraId="37000A8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.1本项目不收取投标保证金。</w:t>
      </w:r>
    </w:p>
    <w:p w14:paraId="3ECD646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.投标有效期</w:t>
      </w:r>
    </w:p>
    <w:p w14:paraId="5E3819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8714A0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3F56CF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8F2F72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.投标文件的递交、修改与撤回</w:t>
      </w:r>
    </w:p>
    <w:p w14:paraId="6E1F77A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.1投标人应当在招标公告规定的投标截止时间前递交投标文件。</w:t>
      </w:r>
    </w:p>
    <w:p w14:paraId="74C6780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.2投标人应当在投标截止时间前完成投标文件的递交，并可以补充、修改或者撤回投标文件。投标截止时间前未完成投标文件递交的，视为撤回投标文件。未按规定投标截止时间后送达的投标文件，应当拒收。</w:t>
      </w:r>
    </w:p>
    <w:p w14:paraId="7B4BBB0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w:t>
      </w:r>
    </w:p>
    <w:p w14:paraId="010BC0F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开标时，采购代理机构将公布开标结果，公布内容包括投标人名称、投标价格及招标文件规定的内容。</w:t>
      </w:r>
    </w:p>
    <w:p w14:paraId="6184C70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采购人或采购代理机构将对开标过程进行记录，由参加开标的各投标人代表和相关工作人员签字确认，并存档备查。</w:t>
      </w:r>
    </w:p>
    <w:p w14:paraId="1E0D8F3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采购人或采购代理机构将对开标过程进行记录，由参加开标的各投标人代表和相关工作人员签字确认，并存档备查。</w:t>
      </w:r>
    </w:p>
    <w:p w14:paraId="64333D5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投标人未派代表参加开标的，视同投标人认可开标结果。</w:t>
      </w:r>
    </w:p>
    <w:p w14:paraId="42F15850">
      <w:pPr>
        <w:spacing w:line="360" w:lineRule="auto"/>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w:t>
      </w:r>
    </w:p>
    <w:p w14:paraId="4D2E8A3E">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.资格审查及组建评标委员会</w:t>
      </w:r>
    </w:p>
    <w:p w14:paraId="4D47C21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.1采购人或采购代理机构依据法律法规和招标文件中规定的内容，对投标人资格进行审查，未通过资格审查的投标人不进入评标。</w:t>
      </w:r>
    </w:p>
    <w:p w14:paraId="2EE481EE">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按照《中华人民共和国政府采购法》、《中华人民共和国政府采购法实施条例》及本项目本级和上级财政部门、政府采购监督管理部门的有关规定依法组建的评标委员会，负责本项目评标工作。</w:t>
      </w:r>
    </w:p>
    <w:p w14:paraId="34064070">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.投标文件符合性审查与澄清</w:t>
      </w:r>
    </w:p>
    <w:p w14:paraId="32F4AAC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.1符合性审查是指依据招标文件的规定，从投标文件的有效性和完整性对招标文件的响应程度进行审查，以确定是否对招标文件的实质性要求做出响应。</w:t>
      </w:r>
    </w:p>
    <w:p w14:paraId="5EA24F2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投标文件的澄清</w:t>
      </w:r>
    </w:p>
    <w:p w14:paraId="6F66DCE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w:t>
      </w:r>
      <w:r>
        <w:rPr>
          <w:rFonts w:hint="eastAsia" w:ascii="宋体" w:hAnsi="宋体" w:eastAsia="宋体" w:cs="宋体"/>
          <w:color w:val="auto"/>
          <w:sz w:val="24"/>
          <w:highlight w:val="none"/>
          <w:lang w:val="en-US" w:eastAsia="zh-CN"/>
        </w:rPr>
        <w:t>邮件的</w:t>
      </w:r>
      <w:r>
        <w:rPr>
          <w:rFonts w:hint="eastAsia" w:ascii="宋体" w:hAnsi="宋体" w:eastAsia="宋体" w:cs="宋体"/>
          <w:color w:val="auto"/>
          <w:sz w:val="24"/>
          <w:highlight w:val="none"/>
        </w:rPr>
        <w:t>方式（代理机构：290407638@qq.com）进行，并不得超出投标文件范围或者改变投标文件的实质性内容。</w:t>
      </w:r>
    </w:p>
    <w:p w14:paraId="47312BA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.2投标人的澄清、说明或补正将作为投标文件的一部分。</w:t>
      </w:r>
    </w:p>
    <w:p w14:paraId="26ADD34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.3评标委员会对投标人提交的澄清、说明或补正有疑问的，可以要求投标人进一步澄清、说明或补正，直至满足评标委员会的要求。</w:t>
      </w:r>
    </w:p>
    <w:p w14:paraId="0A11640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投标文件报价出现前后不一致的，按照下列规定修正：</w:t>
      </w:r>
    </w:p>
    <w:p w14:paraId="341525F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23AF333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4A25D46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25D42F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5FEB6CC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w:t>
      </w: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条的规定经投标人确认后产生约束力，投标人不确认的，其投标将被认定为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97AA765">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07B749A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16.</w:t>
      </w:r>
      <w:r>
        <w:rPr>
          <w:rFonts w:hint="eastAsia" w:ascii="宋体" w:hAnsi="宋体" w:eastAsia="宋体" w:cs="宋体"/>
          <w:b/>
          <w:color w:val="auto"/>
          <w:sz w:val="24"/>
          <w:highlight w:val="none"/>
        </w:rPr>
        <w:t>投标无效</w:t>
      </w:r>
    </w:p>
    <w:p w14:paraId="52E4008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14:paraId="213B951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19D87BB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w:t>
      </w:r>
      <w:r>
        <w:rPr>
          <w:rFonts w:hint="eastAsia" w:ascii="宋体" w:hAnsi="宋体" w:eastAsia="宋体" w:cs="宋体"/>
          <w:color w:val="auto"/>
          <w:sz w:val="24"/>
          <w:highlight w:val="none"/>
          <w:lang w:val="en-US" w:eastAsia="zh-CN"/>
        </w:rPr>
        <w:t>复印</w:t>
      </w:r>
      <w:r>
        <w:rPr>
          <w:rFonts w:hint="eastAsia" w:ascii="宋体" w:hAnsi="宋体" w:eastAsia="宋体" w:cs="宋体"/>
          <w:color w:val="auto"/>
          <w:sz w:val="24"/>
          <w:highlight w:val="none"/>
        </w:rPr>
        <w:t>件的，评标委员会视同其未提供。</w:t>
      </w:r>
    </w:p>
    <w:p w14:paraId="2E88AED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E2EA2D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21311BE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41BD111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2450E38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20C9093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17C09E2E">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17.</w:t>
      </w:r>
      <w:r>
        <w:rPr>
          <w:rFonts w:hint="eastAsia" w:ascii="宋体" w:hAnsi="宋体" w:eastAsia="宋体" w:cs="宋体"/>
          <w:b/>
          <w:color w:val="auto"/>
          <w:sz w:val="24"/>
          <w:highlight w:val="none"/>
        </w:rPr>
        <w:t>比较与评价</w:t>
      </w:r>
    </w:p>
    <w:p w14:paraId="1191FB7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1经符合性审查合格的投标文件，评标委员会将根据招标文件确定的评标方法和标准，对其投标文件作进一步的比较与评价。</w:t>
      </w:r>
    </w:p>
    <w:p w14:paraId="08C7AAA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76C83DD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1212220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6BA0474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.废标、重新招标与变更采购方式</w:t>
      </w:r>
    </w:p>
    <w:p w14:paraId="4D88717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.1出现下列情形之一，将导致项目废标：</w:t>
      </w:r>
    </w:p>
    <w:p w14:paraId="3B388CA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2069E12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496BEAF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2F12861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62EBD13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.2公开招标数额标准以上的采购项目，投标截止后投标人不足3家或者通过资格审查或符合性审查的投标人不足3家的，除采购任务取消情形外，按照以下方式处理：</w:t>
      </w:r>
    </w:p>
    <w:p w14:paraId="33B8CEE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4A9A619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s="宋体"/>
          <w:color w:val="auto"/>
          <w:sz w:val="24"/>
          <w:highlight w:val="none"/>
        </w:rPr>
        <w:t>批准。</w:t>
      </w:r>
    </w:p>
    <w:p w14:paraId="312668A4">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.保密要求</w:t>
      </w:r>
    </w:p>
    <w:p w14:paraId="10CE994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.1评标将在严格保密的情况下进行。</w:t>
      </w:r>
    </w:p>
    <w:p w14:paraId="2C2BE9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.2有关人员应当遵守评标工作纪律，不得泄露评标文件、评标情况和评标中获悉的国家秘密、商业秘密。</w:t>
      </w:r>
    </w:p>
    <w:p w14:paraId="23E47D5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.中标候选人的确定原则及标准</w:t>
      </w:r>
    </w:p>
    <w:p w14:paraId="5122EFF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20.1</w:t>
      </w:r>
      <w:r>
        <w:rPr>
          <w:rFonts w:hint="eastAsia" w:ascii="宋体" w:hAnsi="宋体" w:eastAsia="宋体" w:cs="宋体"/>
          <w:color w:val="auto"/>
          <w:sz w:val="24"/>
          <w:highlight w:val="none"/>
        </w:rPr>
        <w:t>评标委员会依据本项目招标文件所约定的评标方法，对实质上响应招标文件的投标人按下列方法进行排序，确定中标候选人：</w:t>
      </w:r>
    </w:p>
    <w:p w14:paraId="3D7AE60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18153B59">
      <w:pPr>
        <w:spacing w:line="360" w:lineRule="auto"/>
        <w:ind w:firstLine="435"/>
        <w:rPr>
          <w:rFonts w:hint="eastAsia" w:ascii="宋体" w:hAnsi="宋体" w:eastAsia="宋体" w:cs="宋体"/>
          <w:lang w:val="en-US" w:eastAsia="zh-CN"/>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7281C9B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.确定中标候选人和中标人</w:t>
      </w:r>
    </w:p>
    <w:p w14:paraId="7EB25BF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7884263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6040EBF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.3因重大变故采购任务取消时，采购人有权拒绝任何投标人中标，且对受影响的投标人不承担任何责任。</w:t>
      </w:r>
    </w:p>
    <w:p w14:paraId="1945B62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.编写评标报告</w:t>
      </w:r>
    </w:p>
    <w:p w14:paraId="33274AB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BF52549">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.中标结果公告</w:t>
      </w:r>
    </w:p>
    <w:p w14:paraId="7ACB301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2F69A0E">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eastAsia="宋体" w:cs="宋体"/>
          <w:color w:val="auto"/>
          <w:sz w:val="24"/>
          <w:szCs w:val="18"/>
          <w:highlight w:val="none"/>
        </w:rPr>
        <w:t>自中标人确定之日起2个工作日内，采购</w:t>
      </w:r>
      <w:r>
        <w:rPr>
          <w:rFonts w:hint="eastAsia" w:ascii="宋体" w:hAnsi="宋体" w:eastAsia="宋体" w:cs="宋体"/>
          <w:color w:val="auto"/>
          <w:sz w:val="24"/>
          <w:szCs w:val="18"/>
          <w:highlight w:val="none"/>
          <w:lang w:val="en-US" w:eastAsia="zh-CN"/>
        </w:rPr>
        <w:t>人</w:t>
      </w:r>
      <w:r>
        <w:rPr>
          <w:rFonts w:hint="eastAsia" w:ascii="宋体" w:hAnsi="宋体" w:eastAsia="宋体" w:cs="宋体"/>
          <w:color w:val="auto"/>
          <w:sz w:val="24"/>
          <w:szCs w:val="18"/>
          <w:highlight w:val="none"/>
        </w:rPr>
        <w:t>将在滁州市第一人民医院官网（http://www.czdyrmyy.com/index.asp）上发布中标结果公告。</w:t>
      </w:r>
    </w:p>
    <w:p w14:paraId="4F567C3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.3中标结果公告内容应当包括采购人及其委托的采购代理机构的名称、地址、联系方式，项目名称和项目编号，中标人名称、地址和中标金额，主要中标标的的名称、</w:t>
      </w:r>
      <w:r>
        <w:rPr>
          <w:rFonts w:hint="eastAsia" w:ascii="宋体" w:hAnsi="宋体" w:eastAsia="宋体" w:cs="宋体"/>
          <w:color w:val="auto"/>
          <w:sz w:val="24"/>
          <w:highlight w:val="none"/>
          <w:lang w:val="en-US" w:eastAsia="zh-CN"/>
        </w:rPr>
        <w:t>服务范围、</w:t>
      </w:r>
      <w:r>
        <w:rPr>
          <w:rFonts w:hint="eastAsia" w:ascii="宋体" w:hAnsi="宋体" w:eastAsia="宋体" w:cs="宋体"/>
          <w:color w:val="auto"/>
          <w:sz w:val="24"/>
          <w:highlight w:val="none"/>
        </w:rPr>
        <w:t>服务要求、服务时间、服务标准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中标公告期限、以及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2493ADE7">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.中标通知书</w:t>
      </w:r>
    </w:p>
    <w:p w14:paraId="0E0FED9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w:t>
      </w:r>
    </w:p>
    <w:p w14:paraId="67CE793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.2中标通知书对采购人和中标人具有同等法律效力。中标通知书发出以后，采购人改变中标结果或者中标人放弃中标，应当承担相应的法律责任。</w:t>
      </w:r>
    </w:p>
    <w:p w14:paraId="77DB8E9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.3中标通知书是合同的组成部分。</w:t>
      </w:r>
    </w:p>
    <w:p w14:paraId="6CC6E80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.告知招标结果</w:t>
      </w:r>
    </w:p>
    <w:p w14:paraId="2F15545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47E0FCC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.履约保证金</w:t>
      </w:r>
    </w:p>
    <w:p w14:paraId="76D43D5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27CC2F2B">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.2如果中标人没有按照上述履约保证金的规定执行，将视为放弃中标资格。在此情况下，采购人可确定下一中标候选人为中标人，也可以重新开展采购活动。</w:t>
      </w:r>
    </w:p>
    <w:p w14:paraId="3F2C1D4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497A933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0F65CD2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.2招标文件、中标人的投标文件及其澄清文件等，均为签订合同的依据。</w:t>
      </w:r>
    </w:p>
    <w:p w14:paraId="7F57D02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3中标人拒绝与采购人签订合同的，采购人可以按照评审报告推荐的中标候选人名单排序，确定下一中标候选人为中标人，也可以重新开展政府采购活动。</w:t>
      </w:r>
    </w:p>
    <w:p w14:paraId="4D6C811D">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2CC3629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3C3D1B2D">
      <w:pPr>
        <w:spacing w:line="360" w:lineRule="auto"/>
        <w:ind w:firstLine="437"/>
        <w:outlineLvl w:val="2"/>
        <w:rPr>
          <w:rFonts w:hint="eastAsia" w:ascii="宋体" w:hAnsi="宋体" w:eastAsia="宋体" w:cs="宋体"/>
          <w:b/>
          <w:color w:val="auto"/>
          <w:sz w:val="24"/>
          <w:highlight w:val="none"/>
        </w:rPr>
      </w:pPr>
      <w:bookmarkStart w:id="25" w:name="_Toc2583661"/>
      <w:bookmarkStart w:id="26" w:name="_Toc518923100"/>
      <w:r>
        <w:rPr>
          <w:rFonts w:hint="eastAsia" w:ascii="宋体" w:hAnsi="宋体" w:eastAsia="宋体" w:cs="宋体"/>
          <w:b/>
          <w:color w:val="auto"/>
          <w:sz w:val="24"/>
          <w:highlight w:val="none"/>
          <w:lang w:eastAsia="zh-CN"/>
        </w:rPr>
        <w:t>29.</w:t>
      </w:r>
      <w:r>
        <w:rPr>
          <w:rFonts w:hint="eastAsia" w:ascii="宋体" w:hAnsi="宋体" w:eastAsia="宋体" w:cs="宋体"/>
          <w:b/>
          <w:color w:val="auto"/>
          <w:sz w:val="24"/>
          <w:highlight w:val="none"/>
        </w:rPr>
        <w:t>廉洁自律规定</w:t>
      </w:r>
      <w:bookmarkEnd w:id="25"/>
      <w:bookmarkEnd w:id="26"/>
    </w:p>
    <w:p w14:paraId="1ABFDE0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58AA2D2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6F76D820">
      <w:pPr>
        <w:spacing w:line="360" w:lineRule="auto"/>
        <w:ind w:firstLine="437"/>
        <w:outlineLvl w:val="2"/>
        <w:rPr>
          <w:rFonts w:hint="eastAsia" w:ascii="宋体" w:hAnsi="宋体" w:eastAsia="宋体" w:cs="宋体"/>
          <w:b/>
          <w:color w:val="auto"/>
          <w:sz w:val="24"/>
          <w:highlight w:val="none"/>
        </w:rPr>
      </w:pPr>
      <w:bookmarkStart w:id="27" w:name="_Toc2583662"/>
      <w:bookmarkStart w:id="28" w:name="_Toc518923101"/>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.人员回避</w:t>
      </w:r>
      <w:bookmarkEnd w:id="27"/>
      <w:bookmarkEnd w:id="28"/>
    </w:p>
    <w:p w14:paraId="1010907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521CC5B3">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.质疑的提出与接收</w:t>
      </w:r>
    </w:p>
    <w:p w14:paraId="12C5B4A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431364B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D5509E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332E58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.需要补充的其他内容</w:t>
      </w:r>
    </w:p>
    <w:p w14:paraId="4DFABE2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11C797FA">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79F8000F">
      <w:pPr>
        <w:numPr>
          <w:ilvl w:val="0"/>
          <w:numId w:val="2"/>
        </w:numPr>
        <w:spacing w:line="360" w:lineRule="auto"/>
        <w:jc w:val="center"/>
        <w:outlineLvl w:val="0"/>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 xml:space="preserve"> </w:t>
      </w:r>
      <w:bookmarkStart w:id="29" w:name="_Toc22605"/>
      <w:r>
        <w:rPr>
          <w:rFonts w:hint="eastAsia" w:ascii="宋体" w:hAnsi="宋体" w:eastAsia="宋体" w:cs="宋体"/>
          <w:b/>
          <w:color w:val="auto"/>
          <w:sz w:val="28"/>
          <w:highlight w:val="none"/>
        </w:rPr>
        <w:t>采购需求</w:t>
      </w:r>
      <w:bookmarkEnd w:id="29"/>
    </w:p>
    <w:p w14:paraId="66B8BECD">
      <w:pPr>
        <w:spacing w:line="360" w:lineRule="auto"/>
        <w:ind w:firstLine="437"/>
        <w:outlineLvl w:val="1"/>
        <w:rPr>
          <w:rFonts w:hint="eastAsia" w:ascii="宋体" w:hAnsi="宋体" w:eastAsia="宋体" w:cs="宋体"/>
          <w:b/>
          <w:color w:val="auto"/>
          <w:sz w:val="24"/>
          <w:szCs w:val="18"/>
          <w:highlight w:val="none"/>
        </w:rPr>
      </w:pPr>
      <w:bookmarkStart w:id="30" w:name="_Toc4148"/>
      <w:bookmarkStart w:id="31" w:name="_Toc21798"/>
      <w:bookmarkStart w:id="32" w:name="_Hlk23621890"/>
      <w:r>
        <w:rPr>
          <w:rFonts w:hint="eastAsia" w:ascii="宋体" w:hAnsi="宋体" w:eastAsia="宋体" w:cs="宋体"/>
          <w:b/>
          <w:color w:val="auto"/>
          <w:sz w:val="24"/>
          <w:szCs w:val="18"/>
          <w:highlight w:val="none"/>
        </w:rPr>
        <w:t>一、采购需求前附表</w:t>
      </w:r>
      <w:bookmarkEnd w:id="30"/>
      <w:bookmarkEnd w:id="31"/>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411"/>
      </w:tblGrid>
      <w:tr w14:paraId="25AF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E8EF000">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6A20F0E7">
            <w:pPr>
              <w:pStyle w:val="42"/>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6C9E5FEA">
            <w:pPr>
              <w:pStyle w:val="42"/>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5DE8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1470C28">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1C50F479">
            <w:pPr>
              <w:pStyle w:val="4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7" w:type="pct"/>
            <w:vAlign w:val="center"/>
          </w:tcPr>
          <w:p w14:paraId="056C4DA6">
            <w:pPr>
              <w:pStyle w:val="42"/>
              <w:widowControl w:val="0"/>
              <w:spacing w:before="0" w:beforeAutospacing="0" w:after="0" w:afterAutospacing="0" w:line="360" w:lineRule="auto"/>
              <w:jc w:val="both"/>
              <w:rPr>
                <w:rFonts w:hint="eastAsia" w:ascii="宋体" w:hAnsi="宋体" w:eastAsia="宋体" w:cs="宋体"/>
                <w:b w:val="0"/>
                <w:color w:val="auto"/>
                <w:sz w:val="24"/>
                <w:highlight w:val="none"/>
                <w:u w:val="none"/>
                <w:lang w:eastAsia="zh-CN"/>
              </w:rPr>
            </w:pPr>
            <w:r>
              <w:rPr>
                <w:rFonts w:hint="eastAsia" w:ascii="宋体" w:hAnsi="宋体" w:eastAsia="宋体" w:cs="宋体"/>
                <w:b w:val="0"/>
                <w:color w:val="auto"/>
                <w:sz w:val="24"/>
                <w:highlight w:val="none"/>
                <w:u w:val="none"/>
                <w:lang w:val="en-US" w:eastAsia="zh-CN"/>
              </w:rPr>
              <w:t>编制环境影响评价报告，并取得生态环境部门批复后一次性付清全款。</w:t>
            </w:r>
          </w:p>
        </w:tc>
      </w:tr>
      <w:tr w14:paraId="09A4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FB0ACEF">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7654328E">
            <w:pPr>
              <w:pStyle w:val="4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3217" w:type="pct"/>
            <w:vAlign w:val="center"/>
          </w:tcPr>
          <w:p w14:paraId="6F08746F">
            <w:pPr>
              <w:pStyle w:val="42"/>
              <w:widowControl w:val="0"/>
              <w:spacing w:before="0" w:beforeAutospacing="0" w:after="0" w:afterAutospacing="0" w:line="360" w:lineRule="auto"/>
              <w:jc w:val="both"/>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u w:val="single"/>
                <w:lang w:val="en-US" w:eastAsia="zh-CN"/>
              </w:rPr>
              <w:t>滁州市第一人民医院</w:t>
            </w:r>
          </w:p>
        </w:tc>
      </w:tr>
      <w:tr w14:paraId="4243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C46CAA2">
            <w:pPr>
              <w:pStyle w:val="43"/>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74165191">
            <w:pPr>
              <w:pStyle w:val="4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服务期限</w:t>
            </w:r>
          </w:p>
        </w:tc>
        <w:tc>
          <w:tcPr>
            <w:tcW w:w="3217" w:type="pct"/>
            <w:vAlign w:val="center"/>
          </w:tcPr>
          <w:p w14:paraId="09A33624">
            <w:pPr>
              <w:pStyle w:val="42"/>
              <w:widowControl w:val="0"/>
              <w:spacing w:before="0" w:beforeAutospacing="0" w:after="0" w:afterAutospacing="0" w:line="360" w:lineRule="auto"/>
              <w:jc w:val="both"/>
              <w:rPr>
                <w:rFonts w:hint="eastAsia" w:ascii="宋体" w:hAnsi="宋体" w:eastAsia="宋体" w:cs="宋体"/>
                <w:b w:val="0"/>
                <w:color w:val="auto"/>
                <w:sz w:val="24"/>
                <w:highlight w:val="none"/>
                <w:u w:val="none"/>
                <w:lang w:val="en-US" w:eastAsia="zh-CN"/>
              </w:rPr>
            </w:pPr>
            <w:r>
              <w:rPr>
                <w:rFonts w:hint="eastAsia" w:ascii="宋体" w:hAnsi="宋体" w:eastAsia="宋体" w:cs="宋体"/>
                <w:b w:val="0"/>
                <w:color w:val="auto"/>
                <w:sz w:val="24"/>
                <w:highlight w:val="none"/>
                <w:u w:val="none"/>
                <w:lang w:val="en-US" w:eastAsia="zh-CN"/>
              </w:rPr>
              <w:t>完成环境影响报告编制，取得生态环境部门批复为止</w:t>
            </w:r>
          </w:p>
        </w:tc>
      </w:tr>
    </w:tbl>
    <w:p w14:paraId="718667D9">
      <w:pPr>
        <w:spacing w:line="360" w:lineRule="auto"/>
        <w:rPr>
          <w:rFonts w:hint="eastAsia" w:ascii="宋体" w:hAnsi="宋体" w:eastAsia="宋体" w:cs="宋体"/>
          <w:color w:val="auto"/>
          <w:sz w:val="24"/>
          <w:highlight w:val="none"/>
          <w:lang w:val="en-US" w:eastAsia="zh-CN"/>
        </w:rPr>
      </w:pPr>
      <w:bookmarkStart w:id="33" w:name="_Hlk16461016"/>
    </w:p>
    <w:p w14:paraId="0AE9C54D">
      <w:pPr>
        <w:spacing w:line="360" w:lineRule="auto"/>
        <w:ind w:firstLine="437"/>
        <w:outlineLvl w:val="1"/>
        <w:rPr>
          <w:rFonts w:hint="eastAsia" w:ascii="宋体" w:hAnsi="宋体" w:eastAsia="宋体" w:cs="宋体"/>
          <w:b/>
          <w:color w:val="auto"/>
          <w:sz w:val="24"/>
          <w:szCs w:val="18"/>
          <w:highlight w:val="none"/>
          <w:lang w:val="en-US" w:eastAsia="zh-CN"/>
        </w:rPr>
      </w:pPr>
      <w:r>
        <w:rPr>
          <w:rFonts w:hint="eastAsia" w:ascii="宋体" w:hAnsi="宋体" w:eastAsia="宋体" w:cs="宋体"/>
          <w:b/>
          <w:color w:val="auto"/>
          <w:sz w:val="24"/>
          <w:szCs w:val="18"/>
          <w:highlight w:val="none"/>
          <w:lang w:val="en-US" w:eastAsia="zh-CN"/>
        </w:rPr>
        <w:t>二、服务内容：</w:t>
      </w:r>
    </w:p>
    <w:bookmarkEnd w:id="32"/>
    <w:bookmarkEnd w:id="33"/>
    <w:tbl>
      <w:tblPr>
        <w:tblStyle w:val="26"/>
        <w:tblW w:w="9603"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95"/>
        <w:gridCol w:w="2100"/>
        <w:gridCol w:w="3999"/>
      </w:tblGrid>
      <w:tr w14:paraId="5E82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Pr>
          <w:p w14:paraId="212E97A2">
            <w:pPr>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序号</w:t>
            </w:r>
          </w:p>
        </w:tc>
        <w:tc>
          <w:tcPr>
            <w:tcW w:w="2795" w:type="dxa"/>
          </w:tcPr>
          <w:p w14:paraId="3DAD9841">
            <w:pPr>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名称</w:t>
            </w:r>
          </w:p>
        </w:tc>
        <w:tc>
          <w:tcPr>
            <w:tcW w:w="2100" w:type="dxa"/>
          </w:tcPr>
          <w:p w14:paraId="484EF3A2">
            <w:pPr>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数量</w:t>
            </w:r>
          </w:p>
        </w:tc>
        <w:tc>
          <w:tcPr>
            <w:tcW w:w="3999" w:type="dxa"/>
          </w:tcPr>
          <w:p w14:paraId="372B50A0">
            <w:pPr>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备注（或限价）</w:t>
            </w:r>
          </w:p>
        </w:tc>
      </w:tr>
      <w:tr w14:paraId="11EC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709" w:type="dxa"/>
          </w:tcPr>
          <w:p w14:paraId="666AA70C">
            <w:pPr>
              <w:jc w:val="center"/>
              <w:rPr>
                <w:rFonts w:hint="eastAsia" w:ascii="宋体" w:hAnsi="宋体" w:eastAsia="宋体" w:cs="宋体"/>
                <w:b w:val="0"/>
                <w:bCs/>
                <w:color w:val="auto"/>
                <w:kern w:val="0"/>
                <w:sz w:val="24"/>
                <w:szCs w:val="28"/>
                <w:highlight w:val="none"/>
                <w:u w:val="none"/>
                <w:lang w:val="en-US" w:eastAsia="zh-CN" w:bidi="ar-SA"/>
              </w:rPr>
            </w:pPr>
          </w:p>
          <w:p w14:paraId="4BDAA9F3">
            <w:pPr>
              <w:jc w:val="center"/>
              <w:rPr>
                <w:rFonts w:hint="eastAsia" w:ascii="宋体" w:hAnsi="宋体" w:eastAsia="宋体" w:cs="宋体"/>
                <w:b w:val="0"/>
                <w:bCs/>
                <w:color w:val="auto"/>
                <w:kern w:val="0"/>
                <w:sz w:val="24"/>
                <w:szCs w:val="28"/>
                <w:highlight w:val="none"/>
                <w:u w:val="none"/>
                <w:lang w:val="en-US" w:eastAsia="zh-CN" w:bidi="ar-SA"/>
              </w:rPr>
            </w:pPr>
          </w:p>
          <w:p w14:paraId="0298B12B">
            <w:pPr>
              <w:jc w:val="center"/>
              <w:rPr>
                <w:rFonts w:hint="eastAsia" w:ascii="宋体" w:hAnsi="宋体" w:eastAsia="宋体" w:cs="宋体"/>
                <w:b w:val="0"/>
                <w:bCs/>
                <w:color w:val="auto"/>
                <w:kern w:val="0"/>
                <w:sz w:val="24"/>
                <w:szCs w:val="28"/>
                <w:highlight w:val="none"/>
                <w:u w:val="none"/>
                <w:lang w:val="en-US" w:eastAsia="zh-CN" w:bidi="ar-SA"/>
              </w:rPr>
            </w:pPr>
            <w:r>
              <w:rPr>
                <w:rFonts w:hint="eastAsia" w:ascii="宋体" w:hAnsi="宋体" w:eastAsia="宋体" w:cs="宋体"/>
                <w:b w:val="0"/>
                <w:bCs/>
                <w:color w:val="auto"/>
                <w:kern w:val="0"/>
                <w:sz w:val="24"/>
                <w:szCs w:val="28"/>
                <w:highlight w:val="none"/>
                <w:u w:val="none"/>
                <w:lang w:val="en-US" w:eastAsia="zh-CN" w:bidi="ar-SA"/>
              </w:rPr>
              <w:t>1</w:t>
            </w:r>
          </w:p>
        </w:tc>
        <w:tc>
          <w:tcPr>
            <w:tcW w:w="2795" w:type="dxa"/>
          </w:tcPr>
          <w:p w14:paraId="60AD997E">
            <w:pPr>
              <w:spacing w:line="360" w:lineRule="auto"/>
              <w:jc w:val="center"/>
              <w:rPr>
                <w:rFonts w:hint="eastAsia" w:ascii="宋体" w:hAnsi="宋体" w:eastAsia="宋体" w:cs="宋体"/>
                <w:b w:val="0"/>
                <w:bCs/>
                <w:color w:val="auto"/>
                <w:kern w:val="0"/>
                <w:sz w:val="24"/>
                <w:szCs w:val="28"/>
                <w:highlight w:val="none"/>
                <w:u w:val="none"/>
                <w:lang w:val="en-US" w:eastAsia="zh-CN" w:bidi="ar-SA"/>
              </w:rPr>
            </w:pPr>
            <w:r>
              <w:rPr>
                <w:rFonts w:hint="eastAsia" w:ascii="宋体" w:hAnsi="宋体" w:eastAsia="宋体" w:cs="宋体"/>
                <w:b w:val="0"/>
                <w:bCs/>
                <w:color w:val="auto"/>
                <w:kern w:val="0"/>
                <w:sz w:val="24"/>
                <w:szCs w:val="28"/>
                <w:highlight w:val="none"/>
                <w:u w:val="none"/>
                <w:lang w:val="en-US" w:eastAsia="zh-CN" w:bidi="ar-SA"/>
              </w:rPr>
              <w:t>滁州市第一人民医院北区扩建项目射线装置环评项目</w:t>
            </w:r>
          </w:p>
        </w:tc>
        <w:tc>
          <w:tcPr>
            <w:tcW w:w="2100" w:type="dxa"/>
          </w:tcPr>
          <w:p w14:paraId="7A233EF0">
            <w:pPr>
              <w:spacing w:line="600" w:lineRule="auto"/>
              <w:ind w:firstLine="720" w:firstLineChars="300"/>
              <w:jc w:val="both"/>
              <w:rPr>
                <w:rFonts w:hint="eastAsia" w:ascii="宋体" w:hAnsi="宋体" w:eastAsia="宋体" w:cs="宋体"/>
                <w:b w:val="0"/>
                <w:bCs/>
                <w:color w:val="auto"/>
                <w:kern w:val="0"/>
                <w:sz w:val="24"/>
                <w:szCs w:val="28"/>
                <w:highlight w:val="none"/>
                <w:u w:val="none"/>
                <w:lang w:val="en-US" w:eastAsia="zh-CN" w:bidi="ar-SA"/>
              </w:rPr>
            </w:pPr>
            <w:r>
              <w:rPr>
                <w:rFonts w:hint="eastAsia" w:ascii="宋体" w:hAnsi="宋体" w:eastAsia="宋体" w:cs="宋体"/>
                <w:b w:val="0"/>
                <w:bCs/>
                <w:color w:val="auto"/>
                <w:kern w:val="0"/>
                <w:sz w:val="24"/>
                <w:szCs w:val="28"/>
                <w:highlight w:val="none"/>
                <w:u w:val="none"/>
                <w:lang w:val="en-US" w:eastAsia="zh-CN" w:bidi="ar-SA"/>
              </w:rPr>
              <w:t>3间</w:t>
            </w:r>
          </w:p>
        </w:tc>
        <w:tc>
          <w:tcPr>
            <w:tcW w:w="3999" w:type="dxa"/>
          </w:tcPr>
          <w:p w14:paraId="3B394CE9">
            <w:pPr>
              <w:ind w:firstLine="480" w:firstLineChars="200"/>
              <w:jc w:val="left"/>
              <w:rPr>
                <w:rFonts w:hint="eastAsia" w:ascii="宋体" w:hAnsi="宋体" w:eastAsia="宋体" w:cs="宋体"/>
                <w:b w:val="0"/>
                <w:bCs/>
                <w:color w:val="auto"/>
                <w:kern w:val="0"/>
                <w:sz w:val="24"/>
                <w:szCs w:val="28"/>
                <w:highlight w:val="none"/>
                <w:u w:val="none"/>
                <w:lang w:val="en-US" w:eastAsia="zh-CN" w:bidi="ar-SA"/>
              </w:rPr>
            </w:pPr>
          </w:p>
          <w:p w14:paraId="7B91F0A7">
            <w:pPr>
              <w:ind w:firstLine="480" w:firstLineChars="200"/>
              <w:jc w:val="left"/>
              <w:rPr>
                <w:rFonts w:hint="eastAsia" w:ascii="宋体" w:hAnsi="宋体" w:eastAsia="宋体" w:cs="宋体"/>
                <w:b w:val="0"/>
                <w:bCs/>
                <w:color w:val="auto"/>
                <w:kern w:val="0"/>
                <w:sz w:val="24"/>
                <w:szCs w:val="28"/>
                <w:highlight w:val="none"/>
                <w:u w:val="none"/>
                <w:lang w:val="en-US" w:eastAsia="zh-CN" w:bidi="ar-SA"/>
              </w:rPr>
            </w:pPr>
          </w:p>
          <w:p w14:paraId="1DF6015E">
            <w:pPr>
              <w:ind w:firstLine="480" w:firstLineChars="200"/>
              <w:jc w:val="left"/>
              <w:rPr>
                <w:rFonts w:hint="default" w:ascii="宋体" w:hAnsi="宋体" w:eastAsia="宋体" w:cs="宋体"/>
                <w:b w:val="0"/>
                <w:bCs/>
                <w:color w:val="auto"/>
                <w:kern w:val="0"/>
                <w:sz w:val="24"/>
                <w:szCs w:val="28"/>
                <w:highlight w:val="none"/>
                <w:u w:val="none"/>
                <w:lang w:val="en-US" w:eastAsia="zh-CN" w:bidi="ar-SA"/>
              </w:rPr>
            </w:pPr>
            <w:r>
              <w:rPr>
                <w:rFonts w:hint="eastAsia" w:ascii="宋体" w:hAnsi="宋体" w:eastAsia="宋体" w:cs="宋体"/>
                <w:b w:val="0"/>
                <w:bCs/>
                <w:color w:val="auto"/>
                <w:kern w:val="0"/>
                <w:sz w:val="24"/>
                <w:szCs w:val="28"/>
                <w:highlight w:val="none"/>
                <w:u w:val="none"/>
                <w:lang w:val="en-US" w:eastAsia="zh-CN" w:bidi="ar-SA"/>
              </w:rPr>
              <w:t>5万元</w:t>
            </w:r>
          </w:p>
        </w:tc>
      </w:tr>
    </w:tbl>
    <w:p w14:paraId="4ECE332D">
      <w:pPr>
        <w:pStyle w:val="11"/>
        <w:numPr>
          <w:ilvl w:val="0"/>
          <w:numId w:val="0"/>
        </w:numPr>
        <w:rPr>
          <w:rFonts w:hint="eastAsia" w:ascii="宋体" w:hAnsi="宋体" w:eastAsia="宋体" w:cs="宋体"/>
          <w:b/>
          <w:color w:val="auto"/>
          <w:kern w:val="2"/>
          <w:sz w:val="24"/>
          <w:szCs w:val="18"/>
          <w:highlight w:val="none"/>
          <w:lang w:val="en-US" w:eastAsia="zh-CN" w:bidi="ar-SA"/>
        </w:rPr>
      </w:pPr>
    </w:p>
    <w:p w14:paraId="2A9E76CF">
      <w:pPr>
        <w:pStyle w:val="11"/>
        <w:numPr>
          <w:ilvl w:val="0"/>
          <w:numId w:val="0"/>
        </w:numPr>
        <w:rPr>
          <w:rFonts w:hint="eastAsia" w:ascii="宋体" w:hAnsi="宋体" w:eastAsia="宋体" w:cs="宋体"/>
          <w:b w:val="0"/>
          <w:bCs/>
          <w:lang w:eastAsia="zh-CN"/>
        </w:rPr>
      </w:pPr>
    </w:p>
    <w:p w14:paraId="5669C2F6">
      <w:pPr>
        <w:pStyle w:val="11"/>
        <w:numPr>
          <w:ilvl w:val="0"/>
          <w:numId w:val="0"/>
        </w:numPr>
        <w:rPr>
          <w:rFonts w:hint="eastAsia" w:ascii="宋体" w:hAnsi="宋体" w:eastAsia="宋体" w:cs="宋体"/>
          <w:b w:val="0"/>
          <w:bCs/>
          <w:lang w:eastAsia="zh-CN"/>
        </w:rPr>
      </w:pPr>
    </w:p>
    <w:p w14:paraId="6647843D">
      <w:pPr>
        <w:pStyle w:val="11"/>
        <w:numPr>
          <w:ilvl w:val="0"/>
          <w:numId w:val="0"/>
        </w:numPr>
        <w:rPr>
          <w:rFonts w:hint="eastAsia" w:ascii="宋体" w:hAnsi="宋体" w:eastAsia="宋体" w:cs="宋体"/>
          <w:b w:val="0"/>
          <w:bCs/>
          <w:lang w:eastAsia="zh-CN"/>
        </w:rPr>
      </w:pPr>
    </w:p>
    <w:p w14:paraId="65843AD0">
      <w:pPr>
        <w:pStyle w:val="11"/>
        <w:numPr>
          <w:ilvl w:val="0"/>
          <w:numId w:val="0"/>
        </w:numPr>
        <w:rPr>
          <w:rFonts w:hint="eastAsia" w:ascii="宋体" w:hAnsi="宋体" w:eastAsia="宋体" w:cs="宋体"/>
          <w:b w:val="0"/>
          <w:bCs/>
          <w:lang w:eastAsia="zh-CN"/>
        </w:rPr>
      </w:pPr>
    </w:p>
    <w:p w14:paraId="12A6EF90">
      <w:pPr>
        <w:pStyle w:val="11"/>
        <w:numPr>
          <w:ilvl w:val="0"/>
          <w:numId w:val="0"/>
        </w:numPr>
        <w:rPr>
          <w:rFonts w:hint="eastAsia" w:ascii="宋体" w:hAnsi="宋体" w:eastAsia="宋体" w:cs="宋体"/>
          <w:b w:val="0"/>
          <w:bCs/>
          <w:lang w:eastAsia="zh-CN"/>
        </w:rPr>
      </w:pPr>
    </w:p>
    <w:p w14:paraId="5EEF5CEA">
      <w:pPr>
        <w:pStyle w:val="11"/>
        <w:numPr>
          <w:ilvl w:val="0"/>
          <w:numId w:val="0"/>
        </w:numPr>
        <w:rPr>
          <w:rFonts w:hint="eastAsia" w:ascii="宋体" w:hAnsi="宋体" w:eastAsia="宋体" w:cs="宋体"/>
          <w:b w:val="0"/>
          <w:bCs/>
          <w:lang w:eastAsia="zh-CN"/>
        </w:rPr>
      </w:pPr>
    </w:p>
    <w:p w14:paraId="6A9CBFFA">
      <w:pPr>
        <w:pStyle w:val="11"/>
        <w:numPr>
          <w:ilvl w:val="0"/>
          <w:numId w:val="0"/>
        </w:numPr>
        <w:rPr>
          <w:rFonts w:hint="eastAsia" w:ascii="宋体" w:hAnsi="宋体" w:eastAsia="宋体" w:cs="宋体"/>
          <w:b w:val="0"/>
          <w:bCs/>
          <w:lang w:eastAsia="zh-CN"/>
        </w:rPr>
      </w:pPr>
    </w:p>
    <w:p w14:paraId="5E4D3F48">
      <w:pPr>
        <w:pStyle w:val="11"/>
        <w:numPr>
          <w:ilvl w:val="0"/>
          <w:numId w:val="0"/>
        </w:numPr>
        <w:rPr>
          <w:rFonts w:hint="eastAsia" w:ascii="宋体" w:hAnsi="宋体" w:eastAsia="宋体" w:cs="宋体"/>
          <w:b w:val="0"/>
          <w:bCs/>
          <w:lang w:eastAsia="zh-CN"/>
        </w:rPr>
      </w:pPr>
    </w:p>
    <w:p w14:paraId="30D6F3B4">
      <w:pPr>
        <w:pStyle w:val="11"/>
        <w:numPr>
          <w:ilvl w:val="0"/>
          <w:numId w:val="0"/>
        </w:numPr>
        <w:rPr>
          <w:rFonts w:hint="eastAsia" w:ascii="宋体" w:hAnsi="宋体" w:eastAsia="宋体" w:cs="宋体"/>
          <w:b w:val="0"/>
          <w:bCs/>
          <w:lang w:eastAsia="zh-CN"/>
        </w:rPr>
      </w:pPr>
    </w:p>
    <w:p w14:paraId="2CC2FEBA">
      <w:pPr>
        <w:pStyle w:val="11"/>
        <w:numPr>
          <w:ilvl w:val="0"/>
          <w:numId w:val="0"/>
        </w:numPr>
        <w:rPr>
          <w:rFonts w:hint="eastAsia" w:ascii="宋体" w:hAnsi="宋体" w:eastAsia="宋体" w:cs="宋体"/>
          <w:b w:val="0"/>
          <w:bCs/>
          <w:lang w:eastAsia="zh-CN"/>
        </w:rPr>
      </w:pPr>
    </w:p>
    <w:p w14:paraId="2305F318">
      <w:pPr>
        <w:pStyle w:val="11"/>
        <w:numPr>
          <w:ilvl w:val="0"/>
          <w:numId w:val="0"/>
        </w:numPr>
        <w:rPr>
          <w:rFonts w:hint="eastAsia" w:ascii="宋体" w:hAnsi="宋体" w:eastAsia="宋体" w:cs="宋体"/>
          <w:b w:val="0"/>
          <w:bCs/>
          <w:lang w:eastAsia="zh-CN"/>
        </w:rPr>
      </w:pPr>
    </w:p>
    <w:p w14:paraId="3BEC1D84">
      <w:pPr>
        <w:pStyle w:val="11"/>
        <w:numPr>
          <w:ilvl w:val="0"/>
          <w:numId w:val="0"/>
        </w:numPr>
        <w:rPr>
          <w:rFonts w:hint="eastAsia" w:ascii="宋体" w:hAnsi="宋体" w:eastAsia="宋体" w:cs="宋体"/>
          <w:b w:val="0"/>
          <w:bCs/>
          <w:lang w:eastAsia="zh-CN"/>
        </w:rPr>
      </w:pPr>
    </w:p>
    <w:p w14:paraId="658E98EC">
      <w:pPr>
        <w:pStyle w:val="11"/>
        <w:numPr>
          <w:ilvl w:val="0"/>
          <w:numId w:val="0"/>
        </w:numPr>
        <w:rPr>
          <w:rFonts w:hint="eastAsia" w:ascii="宋体" w:hAnsi="宋体" w:eastAsia="宋体" w:cs="宋体"/>
          <w:b w:val="0"/>
          <w:bCs/>
          <w:lang w:eastAsia="zh-CN"/>
        </w:rPr>
      </w:pPr>
    </w:p>
    <w:p w14:paraId="60AB08A1">
      <w:pPr>
        <w:pStyle w:val="11"/>
        <w:numPr>
          <w:ilvl w:val="0"/>
          <w:numId w:val="0"/>
        </w:numPr>
        <w:rPr>
          <w:rFonts w:hint="eastAsia" w:ascii="宋体" w:hAnsi="宋体" w:eastAsia="宋体" w:cs="宋体"/>
          <w:b w:val="0"/>
          <w:bCs/>
          <w:lang w:eastAsia="zh-CN"/>
        </w:rPr>
      </w:pPr>
    </w:p>
    <w:p w14:paraId="6D53F7C0">
      <w:pPr>
        <w:pStyle w:val="11"/>
        <w:numPr>
          <w:ilvl w:val="0"/>
          <w:numId w:val="0"/>
        </w:numPr>
        <w:rPr>
          <w:rFonts w:hint="eastAsia" w:ascii="宋体" w:hAnsi="宋体" w:eastAsia="宋体" w:cs="宋体"/>
          <w:b w:val="0"/>
          <w:bCs/>
          <w:lang w:eastAsia="zh-CN"/>
        </w:rPr>
      </w:pPr>
    </w:p>
    <w:p w14:paraId="651E3A83">
      <w:pPr>
        <w:pStyle w:val="11"/>
        <w:numPr>
          <w:ilvl w:val="0"/>
          <w:numId w:val="0"/>
        </w:numPr>
        <w:rPr>
          <w:rFonts w:hint="eastAsia" w:ascii="宋体" w:hAnsi="宋体" w:eastAsia="宋体" w:cs="宋体"/>
          <w:b w:val="0"/>
          <w:bCs/>
          <w:lang w:eastAsia="zh-CN"/>
        </w:rPr>
      </w:pPr>
    </w:p>
    <w:p w14:paraId="5E7ECF36">
      <w:pPr>
        <w:numPr>
          <w:ilvl w:val="0"/>
          <w:numId w:val="2"/>
        </w:numPr>
        <w:ind w:left="0" w:leftChars="0" w:firstLine="0" w:firstLineChars="0"/>
        <w:jc w:val="center"/>
        <w:rPr>
          <w:rFonts w:hint="eastAsia" w:ascii="宋体" w:hAnsi="宋体" w:eastAsia="宋体" w:cs="宋体"/>
          <w:b/>
          <w:color w:val="auto"/>
          <w:sz w:val="28"/>
          <w:highlight w:val="none"/>
        </w:rPr>
      </w:pPr>
      <w:bookmarkStart w:id="34" w:name="_Toc3538"/>
      <w:r>
        <w:rPr>
          <w:rFonts w:hint="eastAsia" w:ascii="宋体" w:hAnsi="宋体" w:eastAsia="宋体" w:cs="宋体"/>
          <w:b/>
          <w:color w:val="auto"/>
          <w:sz w:val="28"/>
          <w:highlight w:val="none"/>
        </w:rPr>
        <w:t xml:space="preserve"> 评标方法和标准（最低评标价法）</w:t>
      </w:r>
      <w:bookmarkEnd w:id="34"/>
    </w:p>
    <w:p w14:paraId="079CE36A">
      <w:pPr>
        <w:spacing w:line="360" w:lineRule="auto"/>
        <w:ind w:firstLine="437"/>
        <w:outlineLvl w:val="1"/>
        <w:rPr>
          <w:rFonts w:hint="eastAsia" w:ascii="宋体" w:hAnsi="宋体" w:eastAsia="宋体" w:cs="宋体"/>
          <w:b/>
          <w:color w:val="auto"/>
          <w:sz w:val="24"/>
          <w:highlight w:val="none"/>
        </w:rPr>
      </w:pPr>
      <w:bookmarkStart w:id="35" w:name="_Toc6560"/>
      <w:bookmarkStart w:id="36" w:name="_Toc10401"/>
      <w:r>
        <w:rPr>
          <w:rFonts w:hint="eastAsia" w:ascii="宋体" w:hAnsi="宋体" w:eastAsia="宋体" w:cs="宋体"/>
          <w:b/>
          <w:color w:val="auto"/>
          <w:sz w:val="24"/>
          <w:highlight w:val="none"/>
        </w:rPr>
        <w:t>一、总则</w:t>
      </w:r>
      <w:bookmarkEnd w:id="35"/>
      <w:bookmarkEnd w:id="36"/>
    </w:p>
    <w:p w14:paraId="48901C5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本项目将按照招标文件第二章投标人须知的相关要求及本章的规定评标。</w:t>
      </w:r>
    </w:p>
    <w:p w14:paraId="796B9B2C">
      <w:pPr>
        <w:spacing w:line="360" w:lineRule="auto"/>
        <w:ind w:firstLine="437"/>
        <w:outlineLvl w:val="1"/>
        <w:rPr>
          <w:rFonts w:hint="eastAsia" w:ascii="宋体" w:hAnsi="宋体" w:eastAsia="宋体" w:cs="宋体"/>
          <w:b/>
          <w:color w:val="auto"/>
          <w:sz w:val="24"/>
          <w:highlight w:val="none"/>
        </w:rPr>
      </w:pPr>
      <w:bookmarkStart w:id="37" w:name="_Toc28533"/>
      <w:bookmarkStart w:id="38" w:name="_Toc17743"/>
      <w:r>
        <w:rPr>
          <w:rFonts w:hint="eastAsia" w:ascii="宋体" w:hAnsi="宋体" w:eastAsia="宋体" w:cs="宋体"/>
          <w:b/>
          <w:color w:val="auto"/>
          <w:sz w:val="24"/>
          <w:highlight w:val="none"/>
        </w:rPr>
        <w:t>二、评标方法</w:t>
      </w:r>
      <w:bookmarkEnd w:id="37"/>
      <w:bookmarkEnd w:id="38"/>
    </w:p>
    <w:p w14:paraId="1B37B07D">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927"/>
        <w:gridCol w:w="5323"/>
        <w:gridCol w:w="2223"/>
      </w:tblGrid>
      <w:tr w14:paraId="73C0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AED3279">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3A47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tcBorders>
              <w:bottom w:val="single" w:color="auto" w:sz="4" w:space="0"/>
            </w:tcBorders>
            <w:vAlign w:val="center"/>
          </w:tcPr>
          <w:p w14:paraId="32CBC2E2">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1" w:type="pct"/>
            <w:tcBorders>
              <w:bottom w:val="single" w:color="auto" w:sz="4" w:space="0"/>
            </w:tcBorders>
            <w:vAlign w:val="center"/>
          </w:tcPr>
          <w:p w14:paraId="21CB90BF">
            <w:pPr>
              <w:pStyle w:val="43"/>
              <w:pBdr>
                <w:bottom w:val="none" w:color="auto" w:sz="0" w:space="0"/>
              </w:pBdr>
              <w:tabs>
                <w:tab w:val="clear" w:pos="4153"/>
                <w:tab w:val="clear" w:pos="8306"/>
              </w:tabs>
              <w:snapToGrid w:val="0"/>
              <w:spacing w:line="360" w:lineRule="auto"/>
              <w:ind w:right="-10" w:rightChars="0"/>
              <w:textAlignment w:val="auto"/>
              <w:rPr>
                <w:rFonts w:hint="eastAsia"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val="en-US" w:eastAsia="zh-CN"/>
              </w:rPr>
              <w:t>审查指标</w:t>
            </w:r>
          </w:p>
        </w:tc>
        <w:tc>
          <w:tcPr>
            <w:tcW w:w="2599" w:type="pct"/>
            <w:tcBorders>
              <w:bottom w:val="single" w:color="auto" w:sz="4" w:space="0"/>
            </w:tcBorders>
            <w:vAlign w:val="center"/>
          </w:tcPr>
          <w:p w14:paraId="120F2507">
            <w:pPr>
              <w:adjustRightInd w:val="0"/>
              <w:snapToGrid w:val="0"/>
              <w:spacing w:line="360" w:lineRule="auto"/>
              <w:ind w:right="-1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审查标准</w:t>
            </w:r>
          </w:p>
        </w:tc>
        <w:tc>
          <w:tcPr>
            <w:tcW w:w="1082" w:type="pct"/>
            <w:tcBorders>
              <w:bottom w:val="single" w:color="auto" w:sz="4" w:space="0"/>
            </w:tcBorders>
            <w:vAlign w:val="center"/>
          </w:tcPr>
          <w:p w14:paraId="3DF8AA72">
            <w:pPr>
              <w:adjustRightInd w:val="0"/>
              <w:snapToGrid w:val="0"/>
              <w:spacing w:line="360" w:lineRule="auto"/>
              <w:ind w:right="-1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749F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5" w:type="pct"/>
            <w:tcBorders>
              <w:bottom w:val="single" w:color="auto" w:sz="4" w:space="0"/>
            </w:tcBorders>
            <w:vAlign w:val="center"/>
          </w:tcPr>
          <w:p w14:paraId="76F3161C">
            <w:pPr>
              <w:adjustRightInd w:val="0"/>
              <w:snapToGrid w:val="0"/>
              <w:spacing w:line="360" w:lineRule="auto"/>
              <w:ind w:right="-10" w:right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1</w:t>
            </w:r>
          </w:p>
        </w:tc>
        <w:tc>
          <w:tcPr>
            <w:tcW w:w="941" w:type="pct"/>
            <w:tcBorders>
              <w:bottom w:val="single" w:color="auto" w:sz="4" w:space="0"/>
            </w:tcBorders>
            <w:vAlign w:val="center"/>
          </w:tcPr>
          <w:p w14:paraId="131783BA">
            <w:pPr>
              <w:spacing w:after="50" w:line="360" w:lineRule="auto"/>
              <w:ind w:right="-10" w:rightChars="0"/>
              <w:jc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pacing w:val="9"/>
                <w:sz w:val="24"/>
                <w:szCs w:val="24"/>
              </w:rPr>
              <w:t>营业执照等证明</w:t>
            </w:r>
            <w:r>
              <w:rPr>
                <w:rFonts w:hint="eastAsia" w:ascii="宋体" w:hAnsi="宋体" w:eastAsia="宋体" w:cs="宋体"/>
                <w:spacing w:val="-3"/>
                <w:sz w:val="24"/>
                <w:szCs w:val="24"/>
              </w:rPr>
              <w:t>文件</w:t>
            </w:r>
          </w:p>
        </w:tc>
        <w:tc>
          <w:tcPr>
            <w:tcW w:w="2599" w:type="pct"/>
            <w:tcBorders>
              <w:bottom w:val="single" w:color="auto" w:sz="4" w:space="0"/>
            </w:tcBorders>
            <w:vAlign w:val="center"/>
          </w:tcPr>
          <w:p w14:paraId="7A7397D8">
            <w:pPr>
              <w:spacing w:after="50" w:line="360" w:lineRule="auto"/>
              <w:ind w:right="-10" w:rightChars="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投标人为企业（包括合伙企业）的，应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供有效的营业执照；</w:t>
            </w:r>
          </w:p>
          <w:p w14:paraId="3733FC75">
            <w:pPr>
              <w:spacing w:after="50" w:line="360" w:lineRule="auto"/>
              <w:ind w:right="-10" w:rightChars="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投标人为事业单位的，应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供有效的事业单位法人证书；</w:t>
            </w:r>
          </w:p>
          <w:p w14:paraId="6C13A953">
            <w:pPr>
              <w:spacing w:after="50" w:line="360" w:lineRule="auto"/>
              <w:ind w:right="-10" w:rightChars="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投标人是非企业机构的，应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hint="eastAsia" w:ascii="宋体" w:hAnsi="宋体" w:eastAsia="宋体" w:cs="宋体"/>
                <w:sz w:val="24"/>
                <w:szCs w:val="24"/>
              </w:rPr>
              <w:t>登记证书等证明文件；</w:t>
            </w:r>
          </w:p>
          <w:p w14:paraId="1FB91E83">
            <w:pPr>
              <w:spacing w:after="50" w:line="360" w:lineRule="auto"/>
              <w:ind w:right="-10" w:rightChars="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投标人是个体工商户的，应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供有效的个体工商户营业执照；</w:t>
            </w:r>
          </w:p>
          <w:p w14:paraId="03472AD4">
            <w:pPr>
              <w:spacing w:after="50" w:line="360" w:lineRule="auto"/>
              <w:ind w:right="-10" w:rightChars="0"/>
              <w:jc w:val="left"/>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投标人是自然人的，应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供有效的自然人身份证明</w:t>
            </w:r>
            <w:r>
              <w:rPr>
                <w:rFonts w:hint="eastAsia" w:ascii="宋体" w:hAnsi="宋体" w:eastAsia="宋体" w:cs="宋体"/>
                <w:sz w:val="24"/>
                <w:szCs w:val="24"/>
                <w:lang w:eastAsia="zh-CN"/>
              </w:rPr>
              <w:t>；</w:t>
            </w:r>
          </w:p>
        </w:tc>
        <w:tc>
          <w:tcPr>
            <w:tcW w:w="1082" w:type="pct"/>
            <w:vAlign w:val="center"/>
          </w:tcPr>
          <w:p w14:paraId="764CF86F">
            <w:pPr>
              <w:spacing w:line="360" w:lineRule="auto"/>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2E0B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5" w:type="pct"/>
            <w:tcBorders>
              <w:bottom w:val="single" w:color="auto" w:sz="4" w:space="0"/>
            </w:tcBorders>
            <w:vAlign w:val="center"/>
          </w:tcPr>
          <w:p w14:paraId="36D28044">
            <w:pPr>
              <w:adjustRightInd w:val="0"/>
              <w:snapToGrid w:val="0"/>
              <w:spacing w:line="360" w:lineRule="auto"/>
              <w:ind w:right="-1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941" w:type="pct"/>
            <w:tcBorders>
              <w:bottom w:val="single" w:color="auto" w:sz="4" w:space="0"/>
            </w:tcBorders>
            <w:vAlign w:val="center"/>
          </w:tcPr>
          <w:p w14:paraId="2644B0F4">
            <w:pPr>
              <w:spacing w:after="50" w:line="360" w:lineRule="auto"/>
              <w:ind w:right="-10" w:rightChars="0"/>
              <w:jc w:val="center"/>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18"/>
                <w:highlight w:val="none"/>
                <w:lang w:val="en-US" w:eastAsia="zh-CN"/>
              </w:rPr>
              <w:t>投标人资格声明书</w:t>
            </w:r>
          </w:p>
        </w:tc>
        <w:tc>
          <w:tcPr>
            <w:tcW w:w="2599" w:type="pct"/>
            <w:tcBorders>
              <w:bottom w:val="single" w:color="auto" w:sz="4" w:space="0"/>
            </w:tcBorders>
            <w:vAlign w:val="center"/>
          </w:tcPr>
          <w:p w14:paraId="2DE36D60">
            <w:pPr>
              <w:spacing w:after="50" w:line="360" w:lineRule="auto"/>
              <w:ind w:right="-10" w:rightChars="0"/>
              <w:jc w:val="left"/>
              <w:rPr>
                <w:rFonts w:hint="eastAsia" w:ascii="宋体" w:hAnsi="宋体" w:eastAsia="宋体" w:cs="宋体"/>
                <w:color w:val="auto"/>
                <w:sz w:val="24"/>
                <w:szCs w:val="28"/>
                <w:highlight w:val="none"/>
              </w:rPr>
            </w:pPr>
            <w:r>
              <w:rPr>
                <w:rFonts w:hint="eastAsia" w:ascii="宋体" w:hAnsi="宋体" w:eastAsia="宋体" w:cs="宋体"/>
                <w:sz w:val="24"/>
                <w:szCs w:val="24"/>
                <w:lang w:val="en-US" w:eastAsia="zh-CN"/>
              </w:rPr>
              <w:t>提</w:t>
            </w:r>
            <w:r>
              <w:rPr>
                <w:rFonts w:hint="eastAsia" w:ascii="宋体" w:hAnsi="宋体" w:eastAsia="宋体" w:cs="宋体"/>
                <w:sz w:val="24"/>
                <w:szCs w:val="24"/>
              </w:rPr>
              <w:t>供符合招标文件要求的《投标人资格声明书》</w:t>
            </w:r>
            <w:r>
              <w:rPr>
                <w:rFonts w:hint="eastAsia" w:ascii="宋体" w:hAnsi="宋体" w:eastAsia="宋体" w:cs="宋体"/>
                <w:sz w:val="24"/>
                <w:szCs w:val="24"/>
                <w:lang w:eastAsia="zh-CN"/>
              </w:rPr>
              <w:t>。</w:t>
            </w:r>
          </w:p>
        </w:tc>
        <w:tc>
          <w:tcPr>
            <w:tcW w:w="1082" w:type="pct"/>
            <w:vAlign w:val="center"/>
          </w:tcPr>
          <w:p w14:paraId="6C73FBA9">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48C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tcBorders>
              <w:bottom w:val="single" w:color="auto" w:sz="4" w:space="0"/>
            </w:tcBorders>
            <w:vAlign w:val="center"/>
          </w:tcPr>
          <w:p w14:paraId="64E5A603">
            <w:pPr>
              <w:adjustRightInd w:val="0"/>
              <w:snapToGrid w:val="0"/>
              <w:spacing w:line="360" w:lineRule="auto"/>
              <w:ind w:right="-1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941" w:type="pct"/>
            <w:tcBorders>
              <w:bottom w:val="single" w:color="auto" w:sz="4" w:space="0"/>
            </w:tcBorders>
            <w:vAlign w:val="center"/>
          </w:tcPr>
          <w:p w14:paraId="7C8E227C">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599" w:type="pct"/>
            <w:tcBorders>
              <w:bottom w:val="single" w:color="auto" w:sz="4" w:space="0"/>
            </w:tcBorders>
            <w:vAlign w:val="center"/>
          </w:tcPr>
          <w:p w14:paraId="76315707">
            <w:pPr>
              <w:spacing w:after="50" w:line="360" w:lineRule="auto"/>
              <w:ind w:right="-10" w:rightChars="0"/>
              <w:jc w:val="left"/>
              <w:rPr>
                <w:rFonts w:hint="eastAsia" w:ascii="宋体" w:hAnsi="宋体" w:eastAsia="宋体" w:cs="宋体"/>
              </w:rPr>
            </w:pPr>
            <w:r>
              <w:rPr>
                <w:rFonts w:hint="eastAsia" w:ascii="宋体" w:hAnsi="宋体" w:eastAsia="宋体" w:cs="宋体"/>
                <w:sz w:val="24"/>
                <w:szCs w:val="24"/>
                <w:lang w:val="zh-CN" w:eastAsia="zh-CN"/>
              </w:rPr>
              <w:t>投标人不得存在投标人须知正文第1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82" w:type="pct"/>
            <w:tcBorders>
              <w:bottom w:val="single" w:color="auto" w:sz="4" w:space="0"/>
            </w:tcBorders>
            <w:vAlign w:val="center"/>
          </w:tcPr>
          <w:p w14:paraId="3B797CE4">
            <w:pPr>
              <w:spacing w:line="360" w:lineRule="auto"/>
              <w:jc w:val="left"/>
              <w:rPr>
                <w:rFonts w:hint="eastAsia" w:ascii="宋体" w:hAnsi="宋体" w:eastAsia="宋体" w:cs="宋体"/>
                <w:color w:val="auto"/>
                <w:kern w:val="2"/>
                <w:sz w:val="21"/>
                <w:highlight w:val="none"/>
                <w:lang w:val="en-US" w:eastAsia="zh-CN" w:bidi="ar-SA"/>
              </w:rPr>
            </w:pPr>
            <w:r>
              <w:rPr>
                <w:rFonts w:hint="eastAsia" w:ascii="宋体" w:hAnsi="宋体" w:eastAsia="宋体" w:cs="宋体"/>
                <w:sz w:val="24"/>
                <w:szCs w:val="24"/>
              </w:rPr>
              <w:t>无须投标人</w:t>
            </w:r>
            <w:r>
              <w:rPr>
                <w:rFonts w:hint="eastAsia" w:ascii="宋体" w:hAnsi="宋体" w:eastAsia="宋体" w:cs="宋体"/>
                <w:sz w:val="24"/>
                <w:szCs w:val="24"/>
                <w:lang w:val="en-US" w:eastAsia="zh-CN"/>
              </w:rPr>
              <w:t>提</w:t>
            </w:r>
            <w:r>
              <w:rPr>
                <w:rFonts w:hint="eastAsia" w:ascii="宋体" w:hAnsi="宋体" w:eastAsia="宋体" w:cs="宋体"/>
                <w:sz w:val="24"/>
                <w:szCs w:val="24"/>
              </w:rPr>
              <w:t>供，由采购人或采购代理机构查询。</w:t>
            </w:r>
          </w:p>
        </w:tc>
      </w:tr>
      <w:tr w14:paraId="42BF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3E279ADF">
            <w:pPr>
              <w:adjustRightInd w:val="0"/>
              <w:snapToGrid w:val="0"/>
              <w:spacing w:line="360" w:lineRule="auto"/>
              <w:ind w:right="-10" w:right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4</w:t>
            </w:r>
          </w:p>
        </w:tc>
        <w:tc>
          <w:tcPr>
            <w:tcW w:w="941" w:type="pct"/>
            <w:vAlign w:val="center"/>
          </w:tcPr>
          <w:p w14:paraId="7247A7C4">
            <w:pPr>
              <w:spacing w:after="50" w:line="360" w:lineRule="auto"/>
              <w:ind w:right="-1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rPr>
              <w:t>其他特定资格要求</w:t>
            </w:r>
          </w:p>
        </w:tc>
        <w:tc>
          <w:tcPr>
            <w:tcW w:w="2599" w:type="pct"/>
            <w:vAlign w:val="center"/>
          </w:tcPr>
          <w:p w14:paraId="331407C4">
            <w:pPr>
              <w:spacing w:after="50" w:line="360" w:lineRule="auto"/>
              <w:ind w:right="-10"/>
              <w:jc w:val="both"/>
              <w:rPr>
                <w:rFonts w:hint="eastAsia" w:ascii="宋体" w:hAnsi="宋体" w:eastAsia="宋体" w:cs="宋体"/>
                <w:spacing w:val="10"/>
                <w:sz w:val="24"/>
                <w:szCs w:val="24"/>
              </w:rPr>
            </w:pPr>
            <w:r>
              <w:rPr>
                <w:rFonts w:hint="eastAsia" w:ascii="宋体" w:hAnsi="宋体" w:eastAsia="宋体" w:cs="宋体"/>
                <w:spacing w:val="10"/>
                <w:sz w:val="24"/>
                <w:szCs w:val="24"/>
              </w:rPr>
              <w:t>如有，见第一章《投标邀请》</w:t>
            </w:r>
          </w:p>
        </w:tc>
        <w:tc>
          <w:tcPr>
            <w:tcW w:w="1082" w:type="pct"/>
            <w:vAlign w:val="center"/>
          </w:tcPr>
          <w:p w14:paraId="2E70B3EE">
            <w:pPr>
              <w:spacing w:after="50" w:line="360" w:lineRule="auto"/>
              <w:ind w:right="-10"/>
              <w:jc w:val="both"/>
              <w:rPr>
                <w:rFonts w:hint="eastAsia" w:ascii="宋体" w:hAnsi="宋体" w:eastAsia="宋体" w:cs="宋体"/>
                <w:spacing w:val="10"/>
                <w:sz w:val="24"/>
                <w:szCs w:val="24"/>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bl>
    <w:p w14:paraId="2B85BDFF">
      <w:pPr>
        <w:spacing w:line="360" w:lineRule="auto"/>
        <w:ind w:firstLine="435"/>
        <w:rPr>
          <w:rFonts w:hint="eastAsia" w:ascii="宋体" w:hAnsi="宋体" w:eastAsia="宋体" w:cs="宋体"/>
          <w:color w:val="auto"/>
          <w:sz w:val="24"/>
          <w:highlight w:val="none"/>
        </w:rPr>
      </w:pPr>
      <w:bookmarkStart w:id="39" w:name="_Hlk16461707"/>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bookmarkEnd w:id="39"/>
    <w:p w14:paraId="06198EE0">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79DE64B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475"/>
        <w:gridCol w:w="3656"/>
        <w:gridCol w:w="2937"/>
      </w:tblGrid>
      <w:tr w14:paraId="469F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5000" w:type="pct"/>
            <w:gridSpan w:val="4"/>
            <w:tcBorders>
              <w:bottom w:val="single" w:color="auto" w:sz="4" w:space="0"/>
            </w:tcBorders>
            <w:vAlign w:val="center"/>
          </w:tcPr>
          <w:p w14:paraId="1CC91E71">
            <w:pPr>
              <w:adjustRightInd w:val="0"/>
              <w:snapToGrid w:val="0"/>
              <w:spacing w:line="360" w:lineRule="auto"/>
              <w:ind w:right="-1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1C80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3B13A0A8">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2" w:type="pct"/>
            <w:tcBorders>
              <w:bottom w:val="single" w:color="auto" w:sz="4" w:space="0"/>
            </w:tcBorders>
            <w:vAlign w:val="center"/>
          </w:tcPr>
          <w:p w14:paraId="53EC329D">
            <w:pPr>
              <w:pStyle w:val="43"/>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5546902E">
            <w:pPr>
              <w:adjustRightInd w:val="0"/>
              <w:snapToGrid w:val="0"/>
              <w:spacing w:line="360" w:lineRule="auto"/>
              <w:ind w:right="-1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3" w:type="pct"/>
            <w:tcBorders>
              <w:bottom w:val="single" w:color="auto" w:sz="4" w:space="0"/>
            </w:tcBorders>
            <w:vAlign w:val="center"/>
          </w:tcPr>
          <w:p w14:paraId="198716C6">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7AF7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0499A1D7">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2" w:type="pct"/>
            <w:vAlign w:val="center"/>
          </w:tcPr>
          <w:p w14:paraId="0B162288">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49E19E14">
            <w:pPr>
              <w:spacing w:after="50" w:line="360" w:lineRule="auto"/>
              <w:ind w:right="-10"/>
              <w:jc w:val="center"/>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格式、填写要求符合招标文件规定并加盖投标人</w:t>
            </w:r>
            <w:r>
              <w:rPr>
                <w:rFonts w:hint="eastAsia" w:ascii="宋体" w:hAnsi="宋体" w:eastAsia="宋体" w:cs="宋体"/>
                <w:color w:val="auto"/>
                <w:sz w:val="24"/>
                <w:szCs w:val="28"/>
                <w:highlight w:val="none"/>
                <w:lang w:val="en-US" w:eastAsia="zh-CN"/>
              </w:rPr>
              <w:t>公章</w:t>
            </w:r>
          </w:p>
        </w:tc>
        <w:tc>
          <w:tcPr>
            <w:tcW w:w="1473" w:type="pct"/>
            <w:vAlign w:val="center"/>
          </w:tcPr>
          <w:p w14:paraId="2A70E835">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3F66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FA806D5">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2" w:type="pct"/>
            <w:vAlign w:val="center"/>
          </w:tcPr>
          <w:p w14:paraId="56BB1444">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3D667300">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w:t>
            </w:r>
            <w:r>
              <w:rPr>
                <w:rFonts w:hint="eastAsia" w:ascii="宋体" w:hAnsi="宋体" w:eastAsia="宋体" w:cs="宋体"/>
                <w:color w:val="auto"/>
                <w:sz w:val="24"/>
                <w:szCs w:val="28"/>
                <w:highlight w:val="none"/>
                <w:lang w:val="en-US" w:eastAsia="zh-CN"/>
              </w:rPr>
              <w:t>公章</w:t>
            </w:r>
          </w:p>
        </w:tc>
        <w:tc>
          <w:tcPr>
            <w:tcW w:w="1473" w:type="pct"/>
            <w:vAlign w:val="center"/>
          </w:tcPr>
          <w:p w14:paraId="67490637">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E5E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4842ACEA">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2" w:type="pct"/>
            <w:vAlign w:val="center"/>
          </w:tcPr>
          <w:p w14:paraId="07C19EB2">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7CF38B32">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w:t>
            </w:r>
            <w:r>
              <w:rPr>
                <w:rFonts w:hint="eastAsia" w:ascii="宋体" w:hAnsi="宋体" w:eastAsia="宋体" w:cs="宋体"/>
                <w:color w:val="auto"/>
                <w:sz w:val="24"/>
                <w:szCs w:val="28"/>
                <w:highlight w:val="none"/>
                <w:lang w:val="en-US" w:eastAsia="zh-CN"/>
              </w:rPr>
              <w:t>公章</w:t>
            </w:r>
          </w:p>
        </w:tc>
        <w:tc>
          <w:tcPr>
            <w:tcW w:w="1473" w:type="pct"/>
            <w:vAlign w:val="center"/>
          </w:tcPr>
          <w:p w14:paraId="075E1724">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0E29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D1769A9">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2" w:type="pct"/>
            <w:vAlign w:val="center"/>
          </w:tcPr>
          <w:p w14:paraId="74D29C3D">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32CE8F2C">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3" w:type="pct"/>
            <w:vAlign w:val="center"/>
          </w:tcPr>
          <w:p w14:paraId="127B76C0">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014C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3FA3436">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2" w:type="pct"/>
            <w:vAlign w:val="center"/>
          </w:tcPr>
          <w:p w14:paraId="5A837F10">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35" w:type="pct"/>
            <w:vAlign w:val="center"/>
          </w:tcPr>
          <w:p w14:paraId="5613D4FA">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地点、</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期限</w:t>
            </w:r>
            <w:r>
              <w:rPr>
                <w:rFonts w:hint="eastAsia" w:ascii="宋体" w:hAnsi="宋体" w:eastAsia="宋体" w:cs="宋体"/>
                <w:color w:val="auto"/>
                <w:sz w:val="24"/>
                <w:szCs w:val="28"/>
                <w:highlight w:val="none"/>
                <w:lang w:val="en-US" w:eastAsia="zh-CN"/>
              </w:rPr>
              <w:t>等实质性</w:t>
            </w:r>
            <w:r>
              <w:rPr>
                <w:rFonts w:hint="eastAsia" w:ascii="宋体" w:hAnsi="宋体" w:eastAsia="宋体" w:cs="宋体"/>
                <w:color w:val="auto"/>
                <w:sz w:val="24"/>
                <w:szCs w:val="28"/>
                <w:highlight w:val="none"/>
              </w:rPr>
              <w:t>要求</w:t>
            </w:r>
          </w:p>
        </w:tc>
        <w:tc>
          <w:tcPr>
            <w:tcW w:w="1473" w:type="pct"/>
            <w:vAlign w:val="center"/>
          </w:tcPr>
          <w:p w14:paraId="16E695A5">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9A3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65F7DACC">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2" w:type="pct"/>
            <w:vAlign w:val="center"/>
          </w:tcPr>
          <w:p w14:paraId="60234B12">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35" w:type="pct"/>
            <w:vAlign w:val="center"/>
          </w:tcPr>
          <w:p w14:paraId="2F3E51AE">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w:t>
            </w:r>
            <w:r>
              <w:rPr>
                <w:rFonts w:hint="eastAsia" w:ascii="宋体" w:hAnsi="宋体" w:eastAsia="宋体" w:cs="宋体"/>
                <w:color w:val="auto"/>
                <w:sz w:val="24"/>
                <w:szCs w:val="28"/>
                <w:highlight w:val="none"/>
                <w:lang w:val="en-US" w:eastAsia="zh-CN"/>
              </w:rPr>
              <w:t>实质性</w:t>
            </w:r>
            <w:r>
              <w:rPr>
                <w:rFonts w:hint="eastAsia" w:ascii="宋体" w:hAnsi="宋体" w:eastAsia="宋体" w:cs="宋体"/>
                <w:color w:val="auto"/>
                <w:sz w:val="24"/>
                <w:szCs w:val="28"/>
                <w:highlight w:val="none"/>
              </w:rPr>
              <w:t>要求</w:t>
            </w:r>
          </w:p>
        </w:tc>
        <w:tc>
          <w:tcPr>
            <w:tcW w:w="1473" w:type="pct"/>
            <w:vAlign w:val="center"/>
          </w:tcPr>
          <w:p w14:paraId="19E73918">
            <w:pPr>
              <w:adjustRightInd w:val="0"/>
              <w:snapToGrid w:val="0"/>
              <w:spacing w:line="360" w:lineRule="auto"/>
              <w:ind w:right="-10"/>
              <w:jc w:val="center"/>
              <w:rPr>
                <w:rFonts w:hint="eastAsia" w:ascii="宋体" w:hAnsi="宋体" w:eastAsia="宋体" w:cs="宋体"/>
                <w:color w:val="auto"/>
                <w:sz w:val="24"/>
                <w:highlight w:val="none"/>
              </w:rPr>
            </w:pPr>
          </w:p>
        </w:tc>
      </w:tr>
    </w:tbl>
    <w:p w14:paraId="475E12FA">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28D099A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7AE30EC">
      <w:pPr>
        <w:spacing w:line="360" w:lineRule="auto"/>
        <w:jc w:val="center"/>
        <w:outlineLvl w:val="0"/>
        <w:rPr>
          <w:rFonts w:hint="eastAsia" w:ascii="宋体" w:hAnsi="宋体" w:eastAsia="宋体" w:cs="宋体"/>
          <w:b/>
          <w:color w:val="auto"/>
          <w:sz w:val="28"/>
          <w:highlight w:val="none"/>
          <w:lang w:eastAsia="zh-CN"/>
        </w:rPr>
      </w:pPr>
      <w:bookmarkStart w:id="40" w:name="_Toc20405"/>
      <w:r>
        <w:rPr>
          <w:rFonts w:hint="eastAsia" w:ascii="宋体" w:hAnsi="宋体" w:eastAsia="宋体" w:cs="宋体"/>
          <w:b/>
          <w:color w:val="auto"/>
          <w:sz w:val="28"/>
          <w:highlight w:val="none"/>
        </w:rPr>
        <w:t>第五章  政府采购合同</w:t>
      </w:r>
      <w:bookmarkEnd w:id="40"/>
    </w:p>
    <w:p w14:paraId="38D0BAEB">
      <w:pPr>
        <w:spacing w:line="480" w:lineRule="auto"/>
        <w:jc w:val="center"/>
        <w:outlineLvl w:val="9"/>
        <w:rPr>
          <w:rFonts w:hint="eastAsia" w:ascii="宋体" w:hAnsi="宋体" w:eastAsia="宋体" w:cs="宋体"/>
          <w:b/>
          <w:color w:val="000000" w:themeColor="text1"/>
          <w:sz w:val="28"/>
          <w:szCs w:val="28"/>
          <w14:textFill>
            <w14:solidFill>
              <w14:schemeClr w14:val="tx1"/>
            </w14:solidFill>
          </w14:textFill>
        </w:rPr>
      </w:pPr>
      <w:bookmarkStart w:id="41" w:name="_Toc331685784"/>
    </w:p>
    <w:p w14:paraId="0B68B5B0">
      <w:pPr>
        <w:spacing w:line="480" w:lineRule="auto"/>
        <w:jc w:val="center"/>
        <w:outlineLvl w:val="9"/>
        <w:rPr>
          <w:rFonts w:hint="eastAsia" w:ascii="宋体" w:hAnsi="宋体" w:eastAsia="宋体" w:cs="宋体"/>
          <w:b/>
          <w:color w:val="000000" w:themeColor="text1"/>
          <w:sz w:val="28"/>
          <w:szCs w:val="28"/>
          <w14:textFill>
            <w14:solidFill>
              <w14:schemeClr w14:val="tx1"/>
            </w14:solidFill>
          </w14:textFill>
        </w:rPr>
      </w:pPr>
    </w:p>
    <w:p w14:paraId="30076205">
      <w:pPr>
        <w:pStyle w:val="11"/>
        <w:rPr>
          <w:rFonts w:hint="eastAsia" w:ascii="宋体" w:hAnsi="宋体" w:eastAsia="宋体" w:cs="宋体"/>
        </w:rPr>
      </w:pPr>
    </w:p>
    <w:p w14:paraId="32E72933">
      <w:pPr>
        <w:spacing w:line="480" w:lineRule="auto"/>
        <w:jc w:val="center"/>
        <w:rPr>
          <w:rFonts w:hint="eastAsia" w:ascii="宋体" w:hAnsi="宋体" w:eastAsia="宋体" w:cs="宋体"/>
          <w:b/>
          <w:color w:val="000000" w:themeColor="text1"/>
          <w:sz w:val="24"/>
          <w:szCs w:val="24"/>
          <w14:textFill>
            <w14:solidFill>
              <w14:schemeClr w14:val="tx1"/>
            </w14:solidFill>
          </w14:textFill>
        </w:rPr>
      </w:pPr>
    </w:p>
    <w:p w14:paraId="0950B54A">
      <w:pPr>
        <w:spacing w:line="480" w:lineRule="auto"/>
        <w:jc w:val="center"/>
        <w:rPr>
          <w:rFonts w:hint="eastAsia" w:ascii="宋体" w:hAnsi="宋体" w:eastAsia="宋体" w:cs="宋体"/>
          <w:b/>
          <w:color w:val="000000" w:themeColor="text1"/>
          <w:sz w:val="24"/>
          <w:szCs w:val="24"/>
          <w14:textFill>
            <w14:solidFill>
              <w14:schemeClr w14:val="tx1"/>
            </w14:solidFill>
          </w14:textFill>
        </w:rPr>
      </w:pPr>
    </w:p>
    <w:p w14:paraId="36D0A562">
      <w:pPr>
        <w:spacing w:line="480" w:lineRule="auto"/>
        <w:jc w:val="center"/>
        <w:rPr>
          <w:rFonts w:hint="eastAsia" w:ascii="宋体" w:hAnsi="宋体" w:eastAsia="宋体" w:cs="宋体"/>
          <w:b/>
          <w:color w:val="000000" w:themeColor="text1"/>
          <w:sz w:val="24"/>
          <w:szCs w:val="24"/>
          <w14:textFill>
            <w14:solidFill>
              <w14:schemeClr w14:val="tx1"/>
            </w14:solidFill>
          </w14:textFill>
        </w:rPr>
      </w:pPr>
    </w:p>
    <w:p w14:paraId="4508A790">
      <w:pPr>
        <w:spacing w:line="360" w:lineRule="auto"/>
        <w:jc w:val="center"/>
        <w:outlineLvl w:val="1"/>
        <w:rPr>
          <w:rFonts w:hint="eastAsia" w:ascii="宋体" w:hAnsi="宋体" w:eastAsia="宋体" w:cs="宋体"/>
          <w:b/>
          <w:color w:val="000000" w:themeColor="text1"/>
          <w:sz w:val="24"/>
          <w14:textFill>
            <w14:solidFill>
              <w14:schemeClr w14:val="tx1"/>
            </w14:solidFill>
          </w14:textFill>
        </w:rPr>
      </w:pPr>
      <w:bookmarkStart w:id="42" w:name="_Toc2449"/>
      <w:r>
        <w:rPr>
          <w:rFonts w:hint="eastAsia" w:ascii="宋体" w:hAnsi="宋体" w:eastAsia="宋体" w:cs="宋体"/>
          <w:b/>
          <w:color w:val="000000" w:themeColor="text1"/>
          <w:sz w:val="24"/>
          <w14:textFill>
            <w14:solidFill>
              <w14:schemeClr w14:val="tx1"/>
            </w14:solidFill>
          </w14:textFill>
        </w:rPr>
        <w:t>第一部分 合同书</w:t>
      </w:r>
      <w:bookmarkEnd w:id="42"/>
    </w:p>
    <w:p w14:paraId="7066EA80">
      <w:pPr>
        <w:spacing w:line="480" w:lineRule="auto"/>
        <w:jc w:val="center"/>
        <w:rPr>
          <w:rFonts w:hint="eastAsia" w:ascii="宋体" w:hAnsi="宋体" w:eastAsia="宋体" w:cs="宋体"/>
          <w:b/>
          <w:color w:val="000000" w:themeColor="text1"/>
          <w:sz w:val="24"/>
          <w:szCs w:val="24"/>
          <w14:textFill>
            <w14:solidFill>
              <w14:schemeClr w14:val="tx1"/>
            </w14:solidFill>
          </w14:textFill>
        </w:rPr>
      </w:pPr>
    </w:p>
    <w:p w14:paraId="37689E19">
      <w:pPr>
        <w:spacing w:line="480" w:lineRule="auto"/>
        <w:jc w:val="center"/>
        <w:rPr>
          <w:rFonts w:hint="eastAsia" w:ascii="宋体" w:hAnsi="宋体" w:eastAsia="宋体" w:cs="宋体"/>
          <w:b/>
          <w:color w:val="000000" w:themeColor="text1"/>
          <w:sz w:val="24"/>
          <w:szCs w:val="24"/>
          <w14:textFill>
            <w14:solidFill>
              <w14:schemeClr w14:val="tx1"/>
            </w14:solidFill>
          </w14:textFill>
        </w:rPr>
      </w:pPr>
    </w:p>
    <w:p w14:paraId="27A42263">
      <w:pPr>
        <w:pStyle w:val="11"/>
        <w:rPr>
          <w:rFonts w:hint="eastAsia" w:ascii="宋体" w:hAnsi="宋体" w:eastAsia="宋体" w:cs="宋体"/>
        </w:rPr>
      </w:pPr>
    </w:p>
    <w:p w14:paraId="025755D8">
      <w:pPr>
        <w:pStyle w:val="11"/>
        <w:rPr>
          <w:rFonts w:hint="eastAsia" w:ascii="宋体" w:hAnsi="宋体" w:eastAsia="宋体" w:cs="宋体"/>
        </w:rPr>
      </w:pPr>
    </w:p>
    <w:p w14:paraId="50A21CB2">
      <w:pPr>
        <w:spacing w:before="120" w:line="480" w:lineRule="auto"/>
        <w:ind w:left="960"/>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lang w:eastAsia="zh-CN"/>
          <w14:textFill>
            <w14:solidFill>
              <w14:schemeClr w14:val="tx1"/>
            </w14:solidFill>
          </w14:textFill>
        </w:rPr>
        <w:t>滁州市第一人民医院北区扩建项目射线装置环评项目</w:t>
      </w:r>
    </w:p>
    <w:p w14:paraId="6D1117A6">
      <w:pPr>
        <w:spacing w:before="120" w:line="480" w:lineRule="auto"/>
        <w:ind w:left="96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u w:val="single"/>
          <w:lang w:eastAsia="zh-CN"/>
          <w14:textFill>
            <w14:solidFill>
              <w14:schemeClr w14:val="tx1"/>
            </w14:solidFill>
          </w14:textFill>
        </w:rPr>
        <w:t>CZYY-2025-39</w:t>
      </w:r>
    </w:p>
    <w:p w14:paraId="5B79187A">
      <w:pPr>
        <w:spacing w:before="120" w:line="480" w:lineRule="auto"/>
        <w:ind w:left="96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甲方（采购人）</w:t>
      </w:r>
      <w:r>
        <w:rPr>
          <w:rFonts w:hint="eastAsia" w:ascii="宋体" w:hAnsi="宋体" w:eastAsia="宋体" w:cs="宋体"/>
          <w:color w:val="000000" w:themeColor="text1"/>
          <w:sz w:val="24"/>
          <w:szCs w:val="24"/>
          <w:u w:val="single"/>
          <w14:textFill>
            <w14:solidFill>
              <w14:schemeClr w14:val="tx1"/>
            </w14:solidFill>
          </w14:textFill>
        </w:rPr>
        <w:t>滁州市第一人民医院</w:t>
      </w:r>
    </w:p>
    <w:p w14:paraId="2B2689D7">
      <w:pPr>
        <w:spacing w:before="120" w:line="480" w:lineRule="auto"/>
        <w:ind w:left="96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乙方（中标人）：</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12BCBF9">
      <w:pPr>
        <w:spacing w:before="120" w:line="480" w:lineRule="auto"/>
        <w:ind w:firstLine="960" w:firstLineChars="4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295741B">
      <w:pPr>
        <w:spacing w:before="120" w:line="48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6D60025B">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bookmarkEnd w:id="41"/>
    <w:p w14:paraId="0D63E7A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43" w:name="_Toc13555"/>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滁州市第一人民医院</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以下简称：甲方</w:t>
      </w:r>
      <w:r>
        <w:rPr>
          <w:rFonts w:hint="eastAsia" w:asciiTheme="minorEastAsia" w:hAnsiTheme="minorEastAsia" w:eastAsiaTheme="minorEastAsia"/>
          <w:color w:val="000000" w:themeColor="text1"/>
          <w:sz w:val="24"/>
          <w:highlight w:val="none"/>
          <w14:textFill>
            <w14:solidFill>
              <w14:schemeClr w14:val="tx1"/>
            </w14:solidFill>
          </w14:textFill>
        </w:rPr>
        <w:t>）通过</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江苏川页工程项目管理有限公司</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组织的</w:t>
      </w:r>
      <w:r>
        <w:rPr>
          <w:rFonts w:hint="eastAsia" w:asciiTheme="minorEastAsia" w:hAnsiTheme="minorEastAsia" w:eastAsiaTheme="minorEastAsia"/>
          <w:color w:val="000000" w:themeColor="text1"/>
          <w:sz w:val="24"/>
          <w:highlight w:val="none"/>
          <w:u w:val="single"/>
          <w14:textFill>
            <w14:solidFill>
              <w14:schemeClr w14:val="tx1"/>
            </w14:solidFill>
          </w14:textFill>
        </w:rPr>
        <w:t>公开招标</w:t>
      </w:r>
      <w:r>
        <w:rPr>
          <w:rFonts w:hint="eastAsia" w:asciiTheme="minorEastAsia" w:hAnsiTheme="minorEastAsia" w:eastAsiaTheme="minorEastAsia"/>
          <w:color w:val="000000" w:themeColor="text1"/>
          <w:sz w:val="24"/>
          <w:highlight w:val="none"/>
          <w14:textFill>
            <w14:solidFill>
              <w14:schemeClr w14:val="tx1"/>
            </w14:solidFill>
          </w14:textFill>
        </w:rPr>
        <w:t>方式采购活动，经</w:t>
      </w:r>
      <w:r>
        <w:rPr>
          <w:rFonts w:hint="eastAsia" w:asciiTheme="minorEastAsia" w:hAnsiTheme="minorEastAsia" w:eastAsiaTheme="minorEastAsia"/>
          <w:color w:val="000000" w:themeColor="text1"/>
          <w:sz w:val="24"/>
          <w:highlight w:val="none"/>
          <w:u w:val="single"/>
          <w14:textFill>
            <w14:solidFill>
              <w14:schemeClr w14:val="tx1"/>
            </w14:solidFill>
          </w14:textFill>
        </w:rPr>
        <w:t>评标委员会</w:t>
      </w:r>
      <w:r>
        <w:rPr>
          <w:rFonts w:hint="eastAsia" w:asciiTheme="minorEastAsia" w:hAnsiTheme="minorEastAsia" w:eastAsiaTheme="minorEastAsia"/>
          <w:color w:val="000000" w:themeColor="text1"/>
          <w:sz w:val="24"/>
          <w:highlight w:val="none"/>
          <w14:textFill>
            <w14:solidFill>
              <w14:schemeClr w14:val="tx1"/>
            </w14:solidFill>
          </w14:textFill>
        </w:rPr>
        <w:t>评定，</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以下简称：乙方</w:t>
      </w:r>
      <w:r>
        <w:rPr>
          <w:rFonts w:hint="eastAsia" w:asciiTheme="minorEastAsia" w:hAnsiTheme="minorEastAsia" w:eastAsiaTheme="minorEastAsia"/>
          <w:color w:val="000000" w:themeColor="text1"/>
          <w:sz w:val="24"/>
          <w:highlight w:val="none"/>
          <w14:textFill>
            <w14:solidFill>
              <w14:schemeClr w14:val="tx1"/>
            </w14:solidFill>
          </w14:textFill>
        </w:rPr>
        <w:t>）为本项目中标人，现</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按照采购文件确定的事项签订本合同。</w:t>
      </w:r>
    </w:p>
    <w:p w14:paraId="21777D16">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7BA2E99B">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44" w:name="_Toc24059"/>
      <w:bookmarkStart w:id="45" w:name="_Toc2232"/>
      <w:bookmarkStart w:id="46" w:name="_Toc3029"/>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合同组成部分</w:t>
      </w:r>
      <w:bookmarkEnd w:id="44"/>
      <w:bookmarkEnd w:id="45"/>
      <w:bookmarkEnd w:id="46"/>
    </w:p>
    <w:p w14:paraId="3F4BE2DA">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027A6416">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1.1.1本合同及其补充合同、变更协议；</w:t>
      </w:r>
    </w:p>
    <w:p w14:paraId="3B331BEF">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1.1.2中标通知书；</w:t>
      </w:r>
    </w:p>
    <w:p w14:paraId="36E96A3A">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1.1.3投标文件（含澄清或者说明文件）；</w:t>
      </w:r>
    </w:p>
    <w:p w14:paraId="6469409F">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1.1.4招标文件（含澄清或者修改文件）；</w:t>
      </w:r>
    </w:p>
    <w:p w14:paraId="250D7A32">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1.1.5其他相关采购文件。</w:t>
      </w:r>
    </w:p>
    <w:p w14:paraId="546786B7">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47" w:name="_Toc6773"/>
      <w:bookmarkStart w:id="48" w:name="_Toc2918"/>
      <w:bookmarkStart w:id="49" w:name="_Toc6311"/>
      <w:bookmarkStart w:id="50" w:name="_Toc18585"/>
      <w:bookmarkStart w:id="51" w:name="_Toc2218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1.2 </w:t>
      </w:r>
      <w:bookmarkEnd w:id="47"/>
      <w:bookmarkEnd w:id="48"/>
      <w:bookmarkEnd w:id="49"/>
      <w:bookmarkEnd w:id="50"/>
      <w:bookmarkEnd w:id="5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服务</w:t>
      </w:r>
    </w:p>
    <w:p w14:paraId="068445B0">
      <w:pPr>
        <w:spacing w:line="360" w:lineRule="auto"/>
        <w:ind w:firstLine="435"/>
        <w:rPr>
          <w:rFonts w:hint="default" w:cs="Times New Roman" w:asciiTheme="minorEastAsia" w:hAnsiTheme="minorEastAsia" w:eastAsiaTheme="minorEastAsia"/>
          <w:color w:val="000000" w:themeColor="text1"/>
          <w:sz w:val="24"/>
          <w:szCs w:val="24"/>
          <w:highlight w:val="none"/>
          <w:u w:val="single"/>
          <w:lang w:val="en-US"/>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1.2.1服务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名称：</w:t>
      </w:r>
      <w:r>
        <w:rPr>
          <w:rFonts w:hint="eastAsia" w:cs="Times New Roman" w:asciiTheme="minorEastAsia" w:hAnsiTheme="minorEastAsia" w:eastAsiaTheme="minorEastAsia"/>
          <w:color w:val="000000" w:themeColor="text1"/>
          <w:sz w:val="24"/>
          <w:szCs w:val="24"/>
          <w:highlight w:val="none"/>
          <w:u w:val="single"/>
          <w:lang w:eastAsia="zh-CN"/>
          <w14:textFill>
            <w14:solidFill>
              <w14:schemeClr w14:val="tx1"/>
            </w14:solidFill>
          </w14:textFill>
        </w:rPr>
        <w:t>滁州市第一人民医院北区扩建项目射线装置环评项目</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 xml:space="preserve"> </w:t>
      </w:r>
    </w:p>
    <w:p w14:paraId="76E0F206">
      <w:pPr>
        <w:spacing w:line="360" w:lineRule="auto"/>
        <w:ind w:firstLine="435"/>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1.2.2服务内容</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招标文件采购需求全部内容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68C3CDEA">
      <w:pPr>
        <w:spacing w:line="360" w:lineRule="auto"/>
        <w:ind w:firstLine="435"/>
        <w:rPr>
          <w:rFonts w:cs="Times New Roman" w:asciiTheme="minorEastAsia" w:hAnsiTheme="minorEastAsia" w:eastAsiaTheme="minorEastAsia"/>
          <w:color w:val="0000FF"/>
          <w:sz w:val="24"/>
          <w:szCs w:val="24"/>
          <w:highlight w:val="non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1.2.3服务质量：</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合格，满足采购人要求</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67AF8FA6">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52" w:name="_Toc21631"/>
      <w:bookmarkStart w:id="53" w:name="_Toc23292"/>
      <w:bookmarkStart w:id="54" w:name="_Toc2155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3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价款</w:t>
      </w:r>
      <w:bookmarkEnd w:id="52"/>
      <w:bookmarkEnd w:id="53"/>
      <w:bookmarkEnd w:id="54"/>
    </w:p>
    <w:p w14:paraId="07CE3BC4">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本合同总价为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14:textFill>
            <w14:solidFill>
              <w14:schemeClr w14:val="tx1"/>
            </w14:solidFill>
          </w14:textFill>
        </w:rPr>
        <w:t>元</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（大写：人民币</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元）</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38E91387">
      <w:pPr>
        <w:spacing w:line="360" w:lineRule="auto"/>
        <w:ind w:firstLine="435"/>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分项价格：</w:t>
      </w:r>
    </w:p>
    <w:tbl>
      <w:tblPr>
        <w:tblStyle w:val="25"/>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13"/>
      </w:tblGrid>
      <w:tr w14:paraId="7BDB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7" w:type="dxa"/>
            <w:vAlign w:val="center"/>
          </w:tcPr>
          <w:p w14:paraId="32BC84A1">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t>序号</w:t>
            </w:r>
          </w:p>
        </w:tc>
        <w:tc>
          <w:tcPr>
            <w:tcW w:w="4316" w:type="dxa"/>
            <w:vAlign w:val="center"/>
          </w:tcPr>
          <w:p w14:paraId="2AE0C8D0">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分项名称</w:t>
            </w:r>
          </w:p>
        </w:tc>
        <w:tc>
          <w:tcPr>
            <w:tcW w:w="3225" w:type="dxa"/>
            <w:gridSpan w:val="2"/>
            <w:vAlign w:val="center"/>
          </w:tcPr>
          <w:p w14:paraId="4DF2737A">
            <w:pPr>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分项价格</w:t>
            </w:r>
          </w:p>
        </w:tc>
      </w:tr>
      <w:tr w14:paraId="027E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45CE83D4">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w:t>
            </w:r>
          </w:p>
        </w:tc>
        <w:tc>
          <w:tcPr>
            <w:tcW w:w="4316" w:type="dxa"/>
            <w:vAlign w:val="center"/>
          </w:tcPr>
          <w:p w14:paraId="0ABA884C">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25" w:type="dxa"/>
            <w:gridSpan w:val="2"/>
            <w:vAlign w:val="center"/>
          </w:tcPr>
          <w:p w14:paraId="537FD6AB">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701D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6FAA8F4F">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2</w:t>
            </w:r>
          </w:p>
        </w:tc>
        <w:tc>
          <w:tcPr>
            <w:tcW w:w="4316" w:type="dxa"/>
            <w:vAlign w:val="center"/>
          </w:tcPr>
          <w:p w14:paraId="098CE1FF">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25" w:type="dxa"/>
            <w:gridSpan w:val="2"/>
            <w:vAlign w:val="center"/>
          </w:tcPr>
          <w:p w14:paraId="1C2CE9CB">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68C4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1ADD79A0">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t>3</w:t>
            </w:r>
          </w:p>
        </w:tc>
        <w:tc>
          <w:tcPr>
            <w:tcW w:w="4316" w:type="dxa"/>
            <w:vAlign w:val="center"/>
          </w:tcPr>
          <w:p w14:paraId="7D940BEB">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25" w:type="dxa"/>
            <w:gridSpan w:val="2"/>
            <w:vAlign w:val="center"/>
          </w:tcPr>
          <w:p w14:paraId="6824830E">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415B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57" w:type="dxa"/>
          </w:tcPr>
          <w:p w14:paraId="02AFAE16">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w:t>
            </w:r>
          </w:p>
        </w:tc>
        <w:tc>
          <w:tcPr>
            <w:tcW w:w="4316" w:type="dxa"/>
            <w:vAlign w:val="center"/>
          </w:tcPr>
          <w:p w14:paraId="04E1C9EE">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25" w:type="dxa"/>
            <w:gridSpan w:val="2"/>
            <w:vAlign w:val="center"/>
          </w:tcPr>
          <w:p w14:paraId="5DC25ADF">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2480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19F1B1C1">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总价</w:t>
            </w:r>
          </w:p>
        </w:tc>
        <w:tc>
          <w:tcPr>
            <w:tcW w:w="3213" w:type="dxa"/>
            <w:vAlign w:val="center"/>
          </w:tcPr>
          <w:p w14:paraId="2EB02F50">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bl>
    <w:p w14:paraId="36D354D5">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55" w:name="_Toc1814"/>
      <w:bookmarkStart w:id="56" w:name="_Toc22618"/>
      <w:bookmarkStart w:id="57" w:name="_Toc10340"/>
      <w:r>
        <w:rPr>
          <w:rFonts w:hint="eastAsia" w:cs="Times New Roman" w:asciiTheme="minorEastAsia" w:hAnsiTheme="minorEastAsia" w:eastAsiaTheme="minorEastAsia"/>
          <w:b/>
          <w:bCs/>
          <w:color w:val="auto"/>
          <w:sz w:val="24"/>
          <w:szCs w:val="24"/>
          <w:highlight w:val="none"/>
          <w:lang w:val="zh-CN"/>
        </w:rPr>
        <w:t>1.</w:t>
      </w:r>
      <w:r>
        <w:rPr>
          <w:rFonts w:cs="Times New Roman" w:asciiTheme="minorEastAsia" w:hAnsiTheme="minorEastAsia" w:eastAsiaTheme="minorEastAsia"/>
          <w:b/>
          <w:bCs/>
          <w:color w:val="auto"/>
          <w:sz w:val="24"/>
          <w:szCs w:val="24"/>
          <w:highlight w:val="none"/>
          <w:lang w:val="zh-CN"/>
        </w:rPr>
        <w:t>4 付款方式和发票开具方式</w:t>
      </w:r>
      <w:bookmarkEnd w:id="55"/>
      <w:bookmarkEnd w:id="56"/>
      <w:bookmarkEnd w:id="57"/>
    </w:p>
    <w:p w14:paraId="05DB2347">
      <w:pPr>
        <w:spacing w:line="360" w:lineRule="auto"/>
        <w:ind w:firstLine="435"/>
        <w:rPr>
          <w:rFonts w:hint="eastAsia" w:cs="Times New Roman" w:asciiTheme="minorEastAsia" w:hAnsiTheme="minorEastAsia" w:eastAsiaTheme="minorEastAsia"/>
          <w:color w:val="auto"/>
          <w:sz w:val="24"/>
          <w:szCs w:val="24"/>
          <w:highlight w:val="yellow"/>
          <w:lang w:eastAsia="zh-CN"/>
        </w:rPr>
      </w:pPr>
      <w:r>
        <w:rPr>
          <w:rFonts w:hint="eastAsia" w:cs="Times New Roman" w:asciiTheme="minorEastAsia" w:hAnsiTheme="minorEastAsia" w:eastAsiaTheme="minorEastAsia"/>
          <w:color w:val="auto"/>
          <w:sz w:val="24"/>
          <w:szCs w:val="24"/>
          <w:highlight w:val="yellow"/>
        </w:rPr>
        <w:t>1.4.1</w:t>
      </w:r>
      <w:r>
        <w:rPr>
          <w:rFonts w:cs="Times New Roman" w:asciiTheme="minorEastAsia" w:hAnsiTheme="minorEastAsia" w:eastAsiaTheme="minorEastAsia"/>
          <w:color w:val="auto"/>
          <w:sz w:val="24"/>
          <w:szCs w:val="24"/>
          <w:highlight w:val="yellow"/>
        </w:rPr>
        <w:t>付款方式：</w:t>
      </w:r>
    </w:p>
    <w:p w14:paraId="2640B9D3">
      <w:pPr>
        <w:spacing w:line="360" w:lineRule="auto"/>
        <w:ind w:firstLine="435"/>
        <w:rPr>
          <w:rFonts w:hint="eastAsia" w:ascii="宋体" w:hAnsi="宋体" w:eastAsia="宋体" w:cs="宋体"/>
          <w:b w:val="0"/>
          <w:color w:val="auto"/>
          <w:sz w:val="24"/>
          <w:highlight w:val="yellow"/>
          <w:u w:val="none"/>
          <w:lang w:val="en-US" w:eastAsia="zh-CN"/>
        </w:rPr>
      </w:pPr>
      <w:r>
        <w:rPr>
          <w:rFonts w:hint="eastAsia" w:ascii="宋体" w:hAnsi="宋体" w:eastAsia="宋体" w:cs="宋体"/>
          <w:b w:val="0"/>
          <w:color w:val="auto"/>
          <w:sz w:val="24"/>
          <w:highlight w:val="yellow"/>
          <w:u w:val="none"/>
          <w:lang w:val="en-US" w:eastAsia="zh-CN"/>
        </w:rPr>
        <w:t>编制环境影响评价报告，并取得生态环境部门批复后一次性付清全款。</w:t>
      </w:r>
    </w:p>
    <w:p w14:paraId="7386B6DD">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1.4.2发票开具方式：</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3922B7E">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58" w:name="_Toc32071"/>
      <w:bookmarkStart w:id="59" w:name="_Toc19304"/>
      <w:bookmarkStart w:id="60" w:name="_Toc284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5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服务</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期限</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、地点和方式</w:t>
      </w:r>
      <w:bookmarkEnd w:id="58"/>
      <w:bookmarkEnd w:id="59"/>
      <w:bookmarkEnd w:id="60"/>
    </w:p>
    <w:p w14:paraId="27DD4EA2">
      <w:pPr>
        <w:spacing w:line="360" w:lineRule="auto"/>
        <w:ind w:firstLine="435"/>
        <w:jc w:val="left"/>
        <w:rPr>
          <w:rFonts w:hint="eastAsia" w:cs="Times New Roman" w:asciiTheme="minorEastAsia" w:hAnsiTheme="minorEastAsia" w:eastAsiaTheme="minorEastAsia"/>
          <w:color w:val="000000" w:themeColor="text1"/>
          <w:sz w:val="24"/>
          <w:szCs w:val="24"/>
          <w:highlight w:val="yellow"/>
          <w:u w:val="single"/>
          <w:lang w:val="en-US" w:eastAsia="zh-CN"/>
          <w14:textFill>
            <w14:solidFill>
              <w14:schemeClr w14:val="tx1"/>
            </w14:solidFill>
          </w14:textFill>
        </w:rPr>
      </w:pPr>
      <w:r>
        <w:rPr>
          <w:rFonts w:hint="eastAsia" w:cs="Times New Roman" w:asciiTheme="minorEastAsia" w:hAnsiTheme="minorEastAsia" w:eastAsiaTheme="minorEastAsia"/>
          <w:color w:val="auto"/>
          <w:sz w:val="24"/>
          <w:szCs w:val="24"/>
          <w:highlight w:val="none"/>
        </w:rPr>
        <w:t>1.5.1服务期限</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000000" w:themeColor="text1"/>
          <w:sz w:val="24"/>
          <w:szCs w:val="24"/>
          <w:highlight w:val="yellow"/>
          <w:u w:val="single"/>
          <w:lang w:val="en-US" w:eastAsia="zh-CN"/>
          <w14:textFill>
            <w14:solidFill>
              <w14:schemeClr w14:val="tx1"/>
            </w14:solidFill>
          </w14:textFill>
        </w:rPr>
        <w:t>完成环境影响报告编制，取得生态环境部门批复为止。</w:t>
      </w:r>
    </w:p>
    <w:p w14:paraId="50080293">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1.5.2服务地点</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滁州市第一人民医院</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5099C53A">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1.5.3服务方式：</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甲方指定方式</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ABCC21F">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61" w:name="_Toc21423"/>
      <w:bookmarkStart w:id="62" w:name="_Toc27250"/>
      <w:bookmarkStart w:id="63" w:name="_Toc1955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1.6 违约责任</w:t>
      </w:r>
      <w:bookmarkEnd w:id="61"/>
      <w:bookmarkEnd w:id="62"/>
      <w:bookmarkEnd w:id="63"/>
    </w:p>
    <w:p w14:paraId="533A5DF3">
      <w:pPr>
        <w:spacing w:line="360" w:lineRule="auto"/>
        <w:ind w:firstLine="435"/>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000000" w:themeColor="text1"/>
          <w:sz w:val="24"/>
          <w:szCs w:val="24"/>
          <w14:textFill>
            <w14:solidFill>
              <w14:schemeClr w14:val="tx1"/>
            </w14:solidFill>
          </w14:textFill>
        </w:rPr>
        <w:t>1.6.1</w:t>
      </w:r>
      <w:r>
        <w:rPr>
          <w:rFonts w:cs="Times New Roman" w:asciiTheme="minorEastAsia" w:hAnsiTheme="minorEastAsia" w:eastAsiaTheme="minorEastAsia"/>
          <w:color w:val="000000" w:themeColor="text1"/>
          <w:sz w:val="24"/>
          <w:szCs w:val="24"/>
          <w14:textFill>
            <w14:solidFill>
              <w14:schemeClr w14:val="tx1"/>
            </w14:solidFill>
          </w14:textFill>
        </w:rPr>
        <w:t>除不可抗力外，如果乙方没有按照本合同约定的期限</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地点和方式</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，甲方可要求乙方支付违约金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一日的应提供而未</w:t>
      </w:r>
      <w:r>
        <w:rPr>
          <w:rFonts w:hint="eastAsia" w:cs="Times New Roman" w:asciiTheme="minorEastAsia" w:hAnsiTheme="minorEastAsia" w:eastAsiaTheme="minorEastAsia"/>
          <w:color w:val="000000" w:themeColor="text1"/>
          <w:sz w:val="24"/>
          <w:szCs w:val="24"/>
          <w14:textFill>
            <w14:solidFill>
              <w14:schemeClr w14:val="tx1"/>
            </w14:solidFill>
          </w14:textFill>
        </w:rPr>
        <w:t>提</w:t>
      </w:r>
      <w:r>
        <w:rPr>
          <w:rFonts w:hint="eastAsia" w:cs="Times New Roman" w:asciiTheme="minorEastAsia" w:hAnsiTheme="minorEastAsia" w:eastAsiaTheme="minorEastAsia"/>
          <w:color w:val="auto"/>
          <w:sz w:val="24"/>
          <w:szCs w:val="24"/>
        </w:rPr>
        <w:t>供</w:t>
      </w:r>
      <w:r>
        <w:rPr>
          <w:rFonts w:cs="Times New Roman" w:asciiTheme="minorEastAsia" w:hAnsiTheme="minorEastAsia" w:eastAsiaTheme="minorEastAsia"/>
          <w:color w:val="auto"/>
          <w:sz w:val="24"/>
          <w:szCs w:val="24"/>
        </w:rPr>
        <w:t>服务价格的</w:t>
      </w:r>
      <w:r>
        <w:rPr>
          <w:rFonts w:hint="eastAsia" w:cs="Times New Roman" w:asciiTheme="minorEastAsia" w:hAnsiTheme="minorEastAsia" w:eastAsiaTheme="minorEastAsia"/>
          <w:color w:val="auto"/>
          <w:sz w:val="24"/>
          <w:szCs w:val="24"/>
          <w:u w:val="single"/>
        </w:rPr>
        <w:t xml:space="preserve">  </w:t>
      </w:r>
      <w:r>
        <w:rPr>
          <w:rFonts w:hint="eastAsia" w:cs="Times New Roman" w:asciiTheme="minorEastAsia" w:hAnsiTheme="minorEastAsia" w:eastAsiaTheme="minorEastAsia"/>
          <w:color w:val="auto"/>
          <w:sz w:val="24"/>
          <w:szCs w:val="24"/>
          <w:u w:val="single"/>
          <w:lang w:val="en-US" w:eastAsia="zh-CN"/>
        </w:rPr>
        <w:t>1</w:t>
      </w:r>
      <w:r>
        <w:rPr>
          <w:rFonts w:hint="eastAsia" w:cs="Times New Roman" w:asciiTheme="minorEastAsia" w:hAnsiTheme="minorEastAsia" w:eastAsiaTheme="minorEastAsia"/>
          <w:color w:val="auto"/>
          <w:sz w:val="24"/>
          <w:szCs w:val="24"/>
          <w:u w:val="single"/>
        </w:rPr>
        <w:t xml:space="preserve">  </w:t>
      </w:r>
      <w:r>
        <w:rPr>
          <w:rFonts w:cs="Times New Roman" w:asciiTheme="minorEastAsia" w:hAnsiTheme="minorEastAsia" w:eastAsiaTheme="minorEastAsia"/>
          <w:color w:val="auto"/>
          <w:sz w:val="24"/>
          <w:szCs w:val="24"/>
        </w:rPr>
        <w:t>%计算</w:t>
      </w:r>
      <w:r>
        <w:rPr>
          <w:rFonts w:hint="eastAsia" w:cs="Times New Roman" w:asciiTheme="minorEastAsia" w:hAnsiTheme="minorEastAsia" w:eastAsiaTheme="minorEastAsia"/>
          <w:color w:val="auto"/>
          <w:sz w:val="24"/>
          <w:szCs w:val="24"/>
        </w:rPr>
        <w:t>，</w:t>
      </w:r>
      <w:r>
        <w:rPr>
          <w:rFonts w:cs="Times New Roman" w:asciiTheme="minorEastAsia" w:hAnsiTheme="minorEastAsia" w:eastAsiaTheme="minorEastAsia"/>
          <w:color w:val="auto"/>
          <w:sz w:val="24"/>
          <w:szCs w:val="24"/>
        </w:rPr>
        <w:t>最高限额为</w:t>
      </w:r>
      <w:r>
        <w:rPr>
          <w:rFonts w:hint="eastAsia" w:cs="Times New Roman" w:asciiTheme="minorEastAsia" w:hAnsiTheme="minorEastAsia" w:eastAsiaTheme="minorEastAsia"/>
          <w:color w:val="auto"/>
          <w:sz w:val="24"/>
          <w:szCs w:val="24"/>
        </w:rPr>
        <w:t>本</w:t>
      </w:r>
      <w:r>
        <w:rPr>
          <w:rFonts w:cs="Times New Roman" w:asciiTheme="minorEastAsia" w:hAnsiTheme="minorEastAsia" w:eastAsiaTheme="minorEastAsia"/>
          <w:color w:val="auto"/>
          <w:sz w:val="24"/>
          <w:szCs w:val="24"/>
        </w:rPr>
        <w:t>合同总价的</w:t>
      </w:r>
      <w:r>
        <w:rPr>
          <w:rFonts w:hint="eastAsia" w:cs="Times New Roman" w:asciiTheme="minorEastAsia" w:hAnsiTheme="minorEastAsia" w:eastAsiaTheme="minorEastAsia"/>
          <w:color w:val="auto"/>
          <w:sz w:val="24"/>
          <w:szCs w:val="24"/>
          <w:u w:val="single"/>
        </w:rPr>
        <w:t xml:space="preserve">   </w:t>
      </w:r>
      <w:r>
        <w:rPr>
          <w:rFonts w:hint="eastAsia" w:cs="Times New Roman" w:asciiTheme="minorEastAsia" w:hAnsiTheme="minorEastAsia" w:eastAsiaTheme="minorEastAsia"/>
          <w:color w:val="auto"/>
          <w:sz w:val="24"/>
          <w:szCs w:val="24"/>
          <w:u w:val="single"/>
          <w:lang w:val="en-US" w:eastAsia="zh-CN"/>
        </w:rPr>
        <w:t>10</w:t>
      </w:r>
      <w:r>
        <w:rPr>
          <w:rFonts w:hint="eastAsia" w:cs="Times New Roman" w:asciiTheme="minorEastAsia" w:hAnsiTheme="minorEastAsia" w:eastAsiaTheme="minorEastAsia"/>
          <w:color w:val="auto"/>
          <w:sz w:val="24"/>
          <w:szCs w:val="24"/>
          <w:u w:val="single"/>
        </w:rPr>
        <w:t xml:space="preserve">  </w:t>
      </w:r>
      <w:r>
        <w:rPr>
          <w:rFonts w:cs="Times New Roman" w:asciiTheme="minorEastAsia" w:hAnsiTheme="minorEastAsia" w:eastAsiaTheme="minorEastAsia"/>
          <w:color w:val="auto"/>
          <w:sz w:val="24"/>
          <w:szCs w:val="24"/>
        </w:rPr>
        <w:t>%</w:t>
      </w:r>
      <w:r>
        <w:rPr>
          <w:rFonts w:hint="eastAsia" w:cs="Times New Roman" w:asciiTheme="minorEastAsia" w:hAnsiTheme="minorEastAsia" w:eastAsiaTheme="minorEastAsia"/>
          <w:color w:val="auto"/>
          <w:sz w:val="24"/>
          <w:szCs w:val="24"/>
        </w:rPr>
        <w:t>；</w:t>
      </w:r>
      <w:r>
        <w:rPr>
          <w:rFonts w:cs="Times New Roman" w:asciiTheme="minorEastAsia" w:hAnsiTheme="minorEastAsia" w:eastAsiaTheme="minorEastAsia"/>
          <w:color w:val="auto"/>
          <w:sz w:val="24"/>
          <w:szCs w:val="24"/>
        </w:rPr>
        <w:t>迟延</w:t>
      </w:r>
      <w:r>
        <w:rPr>
          <w:rFonts w:hint="eastAsia" w:cs="Times New Roman" w:asciiTheme="minorEastAsia" w:hAnsiTheme="minorEastAsia" w:eastAsiaTheme="minorEastAsia"/>
          <w:color w:val="auto"/>
          <w:sz w:val="24"/>
          <w:szCs w:val="24"/>
        </w:rPr>
        <w:t>履行</w:t>
      </w:r>
      <w:r>
        <w:rPr>
          <w:rFonts w:cs="Times New Roman" w:asciiTheme="minorEastAsia" w:hAnsiTheme="minorEastAsia" w:eastAsiaTheme="minorEastAsia"/>
          <w:color w:val="auto"/>
          <w:sz w:val="24"/>
          <w:szCs w:val="24"/>
        </w:rPr>
        <w:t>的违约金计算数额达到前述最高限额之日起</w:t>
      </w:r>
      <w:r>
        <w:rPr>
          <w:rFonts w:hint="eastAsia" w:cs="Times New Roman" w:asciiTheme="minorEastAsia" w:hAnsiTheme="minorEastAsia" w:eastAsiaTheme="minorEastAsia"/>
          <w:color w:val="auto"/>
          <w:sz w:val="24"/>
          <w:szCs w:val="24"/>
        </w:rPr>
        <w:t>，</w:t>
      </w:r>
      <w:r>
        <w:rPr>
          <w:rFonts w:cs="Times New Roman" w:asciiTheme="minorEastAsia" w:hAnsiTheme="minorEastAsia" w:eastAsiaTheme="minorEastAsia"/>
          <w:color w:val="auto"/>
          <w:sz w:val="24"/>
          <w:szCs w:val="24"/>
        </w:rPr>
        <w:t>甲方有权在要求乙方支付违约金的同时</w:t>
      </w:r>
      <w:r>
        <w:rPr>
          <w:rFonts w:hint="eastAsia" w:cs="Times New Roman" w:asciiTheme="minorEastAsia" w:hAnsiTheme="minorEastAsia" w:eastAsiaTheme="minorEastAsia"/>
          <w:color w:val="auto"/>
          <w:sz w:val="24"/>
          <w:szCs w:val="24"/>
        </w:rPr>
        <w:t>，书面通知乙方</w:t>
      </w:r>
      <w:r>
        <w:rPr>
          <w:rFonts w:cs="Times New Roman" w:asciiTheme="minorEastAsia" w:hAnsiTheme="minorEastAsia" w:eastAsiaTheme="minorEastAsia"/>
          <w:color w:val="auto"/>
          <w:sz w:val="24"/>
          <w:szCs w:val="24"/>
        </w:rPr>
        <w:t>解除本合同</w:t>
      </w:r>
      <w:r>
        <w:rPr>
          <w:rFonts w:hint="eastAsia" w:cs="Times New Roman" w:asciiTheme="minorEastAsia" w:hAnsiTheme="minorEastAsia" w:eastAsiaTheme="minorEastAsia"/>
          <w:color w:val="auto"/>
          <w:sz w:val="24"/>
          <w:szCs w:val="24"/>
        </w:rPr>
        <w:t>；</w:t>
      </w:r>
    </w:p>
    <w:p w14:paraId="070B82EA">
      <w:pPr>
        <w:spacing w:line="360" w:lineRule="auto"/>
        <w:ind w:firstLine="435"/>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1.6.2</w:t>
      </w:r>
      <w:r>
        <w:rPr>
          <w:rFonts w:cs="Times New Roman" w:asciiTheme="minorEastAsia" w:hAnsiTheme="minorEastAsia" w:eastAsiaTheme="minorEastAsia"/>
          <w:color w:val="auto"/>
          <w:sz w:val="24"/>
          <w:szCs w:val="24"/>
        </w:rPr>
        <w:t>除不可抗力外，如果甲方没有按照本合同约定的付款方式付款，那么乙方可要求甲方支付违约金</w:t>
      </w:r>
      <w:r>
        <w:rPr>
          <w:rFonts w:hint="eastAsia" w:cs="Times New Roman" w:asciiTheme="minorEastAsia" w:hAnsiTheme="minorEastAsia" w:eastAsiaTheme="minorEastAsia"/>
          <w:color w:val="auto"/>
          <w:sz w:val="24"/>
          <w:szCs w:val="24"/>
        </w:rPr>
        <w:t>，</w:t>
      </w:r>
      <w:r>
        <w:rPr>
          <w:rFonts w:cs="Times New Roman" w:asciiTheme="minorEastAsia" w:hAnsiTheme="minorEastAsia" w:eastAsiaTheme="minorEastAsia"/>
          <w:color w:val="auto"/>
          <w:sz w:val="24"/>
          <w:szCs w:val="24"/>
        </w:rPr>
        <w:t>违约金按每迟延</w:t>
      </w:r>
      <w:r>
        <w:rPr>
          <w:rFonts w:hint="eastAsia" w:cs="Times New Roman" w:asciiTheme="minorEastAsia" w:hAnsiTheme="minorEastAsia" w:eastAsiaTheme="minorEastAsia"/>
          <w:color w:val="auto"/>
          <w:sz w:val="24"/>
          <w:szCs w:val="24"/>
        </w:rPr>
        <w:t>付款</w:t>
      </w:r>
      <w:r>
        <w:rPr>
          <w:rFonts w:cs="Times New Roman" w:asciiTheme="minorEastAsia" w:hAnsiTheme="minorEastAsia" w:eastAsiaTheme="minorEastAsia"/>
          <w:color w:val="auto"/>
          <w:sz w:val="24"/>
          <w:szCs w:val="24"/>
        </w:rPr>
        <w:t>一日的应付而未付款的</w:t>
      </w:r>
      <w:r>
        <w:rPr>
          <w:rFonts w:hint="eastAsia" w:cs="Times New Roman" w:asciiTheme="minorEastAsia" w:hAnsiTheme="minorEastAsia" w:eastAsiaTheme="minorEastAsia"/>
          <w:color w:val="auto"/>
          <w:sz w:val="24"/>
          <w:szCs w:val="24"/>
          <w:u w:val="single"/>
        </w:rPr>
        <w:t xml:space="preserve">  </w:t>
      </w:r>
      <w:r>
        <w:rPr>
          <w:rFonts w:hint="eastAsia" w:cs="Times New Roman" w:asciiTheme="minorEastAsia" w:hAnsiTheme="minorEastAsia" w:eastAsiaTheme="minorEastAsia"/>
          <w:color w:val="auto"/>
          <w:sz w:val="24"/>
          <w:szCs w:val="24"/>
          <w:u w:val="single"/>
          <w:lang w:val="en-US" w:eastAsia="zh-CN"/>
        </w:rPr>
        <w:t>1</w:t>
      </w:r>
      <w:r>
        <w:rPr>
          <w:rFonts w:hint="eastAsia" w:cs="Times New Roman" w:asciiTheme="minorEastAsia" w:hAnsiTheme="minorEastAsia" w:eastAsiaTheme="minorEastAsia"/>
          <w:color w:val="auto"/>
          <w:sz w:val="24"/>
          <w:szCs w:val="24"/>
          <w:u w:val="single"/>
        </w:rPr>
        <w:t xml:space="preserve">  </w:t>
      </w:r>
      <w:r>
        <w:rPr>
          <w:rFonts w:cs="Times New Roman" w:asciiTheme="minorEastAsia" w:hAnsiTheme="minorEastAsia" w:eastAsiaTheme="minorEastAsia"/>
          <w:color w:val="auto"/>
          <w:sz w:val="24"/>
          <w:szCs w:val="24"/>
        </w:rPr>
        <w:t>%计算</w:t>
      </w:r>
      <w:r>
        <w:rPr>
          <w:rFonts w:hint="eastAsia" w:cs="Times New Roman" w:asciiTheme="minorEastAsia" w:hAnsiTheme="minorEastAsia" w:eastAsiaTheme="minorEastAsia"/>
          <w:color w:val="auto"/>
          <w:sz w:val="24"/>
          <w:szCs w:val="24"/>
        </w:rPr>
        <w:t>，</w:t>
      </w:r>
      <w:r>
        <w:rPr>
          <w:rFonts w:cs="Times New Roman" w:asciiTheme="minorEastAsia" w:hAnsiTheme="minorEastAsia" w:eastAsiaTheme="minorEastAsia"/>
          <w:color w:val="auto"/>
          <w:sz w:val="24"/>
          <w:szCs w:val="24"/>
        </w:rPr>
        <w:t>最高限额为</w:t>
      </w:r>
      <w:r>
        <w:rPr>
          <w:rFonts w:hint="eastAsia" w:cs="Times New Roman" w:asciiTheme="minorEastAsia" w:hAnsiTheme="minorEastAsia" w:eastAsiaTheme="minorEastAsia"/>
          <w:color w:val="auto"/>
          <w:sz w:val="24"/>
          <w:szCs w:val="24"/>
        </w:rPr>
        <w:t>本</w:t>
      </w:r>
      <w:r>
        <w:rPr>
          <w:rFonts w:cs="Times New Roman" w:asciiTheme="minorEastAsia" w:hAnsiTheme="minorEastAsia" w:eastAsiaTheme="minorEastAsia"/>
          <w:color w:val="auto"/>
          <w:sz w:val="24"/>
          <w:szCs w:val="24"/>
        </w:rPr>
        <w:t>合同总价的</w:t>
      </w:r>
      <w:r>
        <w:rPr>
          <w:rFonts w:hint="eastAsia" w:cs="Times New Roman" w:asciiTheme="minorEastAsia" w:hAnsiTheme="minorEastAsia" w:eastAsiaTheme="minorEastAsia"/>
          <w:color w:val="auto"/>
          <w:sz w:val="24"/>
          <w:szCs w:val="24"/>
          <w:u w:val="single"/>
        </w:rPr>
        <w:t xml:space="preserve">  </w:t>
      </w:r>
      <w:r>
        <w:rPr>
          <w:rFonts w:hint="eastAsia" w:cs="Times New Roman" w:asciiTheme="minorEastAsia" w:hAnsiTheme="minorEastAsia" w:eastAsiaTheme="minorEastAsia"/>
          <w:color w:val="auto"/>
          <w:sz w:val="24"/>
          <w:szCs w:val="24"/>
          <w:u w:val="single"/>
          <w:lang w:val="en-US" w:eastAsia="zh-CN"/>
        </w:rPr>
        <w:t>10</w:t>
      </w:r>
      <w:r>
        <w:rPr>
          <w:rFonts w:hint="eastAsia" w:cs="Times New Roman" w:asciiTheme="minorEastAsia" w:hAnsiTheme="minorEastAsia" w:eastAsiaTheme="minorEastAsia"/>
          <w:color w:val="auto"/>
          <w:sz w:val="24"/>
          <w:szCs w:val="24"/>
          <w:u w:val="single"/>
        </w:rPr>
        <w:t xml:space="preserve">   </w:t>
      </w:r>
      <w:r>
        <w:rPr>
          <w:rFonts w:cs="Times New Roman" w:asciiTheme="minorEastAsia" w:hAnsiTheme="minorEastAsia" w:eastAsiaTheme="minorEastAsia"/>
          <w:color w:val="auto"/>
          <w:sz w:val="24"/>
          <w:szCs w:val="24"/>
        </w:rPr>
        <w:t>%</w:t>
      </w:r>
      <w:r>
        <w:rPr>
          <w:rFonts w:hint="eastAsia" w:cs="Times New Roman" w:asciiTheme="minorEastAsia" w:hAnsiTheme="minorEastAsia" w:eastAsiaTheme="minorEastAsia"/>
          <w:color w:val="auto"/>
          <w:sz w:val="24"/>
          <w:szCs w:val="24"/>
        </w:rPr>
        <w:t>；</w:t>
      </w:r>
      <w:r>
        <w:rPr>
          <w:rFonts w:cs="Times New Roman" w:asciiTheme="minorEastAsia" w:hAnsiTheme="minorEastAsia" w:eastAsiaTheme="minorEastAsia"/>
          <w:color w:val="auto"/>
          <w:sz w:val="24"/>
          <w:szCs w:val="24"/>
        </w:rPr>
        <w:t>迟延</w:t>
      </w:r>
      <w:r>
        <w:rPr>
          <w:rFonts w:hint="eastAsia" w:cs="Times New Roman" w:asciiTheme="minorEastAsia" w:hAnsiTheme="minorEastAsia" w:eastAsiaTheme="minorEastAsia"/>
          <w:color w:val="auto"/>
          <w:sz w:val="24"/>
          <w:szCs w:val="24"/>
        </w:rPr>
        <w:t>付款</w:t>
      </w:r>
      <w:r>
        <w:rPr>
          <w:rFonts w:cs="Times New Roman" w:asciiTheme="minorEastAsia" w:hAnsiTheme="minorEastAsia" w:eastAsiaTheme="minorEastAsia"/>
          <w:color w:val="auto"/>
          <w:sz w:val="24"/>
          <w:szCs w:val="24"/>
        </w:rPr>
        <w:t>的违约金计算数额达到前述最高限额之日起</w:t>
      </w:r>
      <w:r>
        <w:rPr>
          <w:rFonts w:hint="eastAsia" w:cs="Times New Roman" w:asciiTheme="minorEastAsia" w:hAnsiTheme="minorEastAsia" w:eastAsiaTheme="minorEastAsia"/>
          <w:color w:val="auto"/>
          <w:sz w:val="24"/>
          <w:szCs w:val="24"/>
        </w:rPr>
        <w:t>，乙</w:t>
      </w:r>
      <w:r>
        <w:rPr>
          <w:rFonts w:cs="Times New Roman" w:asciiTheme="minorEastAsia" w:hAnsiTheme="minorEastAsia" w:eastAsiaTheme="minorEastAsia"/>
          <w:color w:val="auto"/>
          <w:sz w:val="24"/>
          <w:szCs w:val="24"/>
        </w:rPr>
        <w:t>方有权在要求甲方支付违约金的同时</w:t>
      </w:r>
      <w:r>
        <w:rPr>
          <w:rFonts w:hint="eastAsia" w:cs="Times New Roman" w:asciiTheme="minorEastAsia" w:hAnsiTheme="minorEastAsia" w:eastAsiaTheme="minorEastAsia"/>
          <w:color w:val="auto"/>
          <w:sz w:val="24"/>
          <w:szCs w:val="24"/>
        </w:rPr>
        <w:t>，书面通知甲方</w:t>
      </w:r>
      <w:r>
        <w:rPr>
          <w:rFonts w:cs="Times New Roman" w:asciiTheme="minorEastAsia" w:hAnsiTheme="minorEastAsia" w:eastAsiaTheme="minorEastAsia"/>
          <w:color w:val="auto"/>
          <w:sz w:val="24"/>
          <w:szCs w:val="24"/>
        </w:rPr>
        <w:t>解除本合同</w:t>
      </w:r>
      <w:r>
        <w:rPr>
          <w:rFonts w:hint="eastAsia" w:cs="Times New Roman" w:asciiTheme="minorEastAsia" w:hAnsiTheme="minorEastAsia" w:eastAsiaTheme="minorEastAsia"/>
          <w:color w:val="auto"/>
          <w:sz w:val="24"/>
          <w:szCs w:val="24"/>
        </w:rPr>
        <w:t>；</w:t>
      </w:r>
    </w:p>
    <w:p w14:paraId="32D3B36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25E1D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90083C3">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32AE52F">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形，均不视为甲方违约。</w:t>
      </w:r>
    </w:p>
    <w:p w14:paraId="70EB9892">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1.6.7因甲方未按合同约定支付价款、未按合同约定受领标的物、擅自解除合同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59DB69CC">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4" w:name="_Toc28375"/>
      <w:bookmarkStart w:id="65" w:name="_Toc16021"/>
      <w:bookmarkStart w:id="66" w:name="_Toc15583"/>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1.7</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争议的解决</w:t>
      </w:r>
      <w:bookmarkEnd w:id="64"/>
      <w:bookmarkEnd w:id="65"/>
      <w:bookmarkEnd w:id="66"/>
    </w:p>
    <w:p w14:paraId="668F858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本合</w:t>
      </w:r>
      <w:r>
        <w:rPr>
          <w:rFonts w:cs="Times New Roman" w:asciiTheme="minorEastAsia" w:hAnsiTheme="minorEastAsia" w:eastAsiaTheme="minorEastAsia"/>
          <w:color w:val="000000" w:themeColor="text1"/>
          <w:sz w:val="24"/>
          <w:szCs w:val="24"/>
          <w14:textFill>
            <w14:solidFill>
              <w14:schemeClr w14:val="tx1"/>
            </w14:solidFill>
          </w14:textFill>
        </w:rPr>
        <w:t>同履行过程中发生的任何争议，双方当事人均可</w:t>
      </w:r>
      <w:r>
        <w:rPr>
          <w:rFonts w:hint="eastAsia" w:cs="Times New Roman" w:asciiTheme="minorEastAsia" w:hAnsiTheme="minorEastAsia" w:eastAsiaTheme="minorEastAsia"/>
          <w:color w:val="000000" w:themeColor="text1"/>
          <w:sz w:val="24"/>
          <w:szCs w:val="24"/>
          <w14:textFill>
            <w14:solidFill>
              <w14:schemeClr w14:val="tx1"/>
            </w14:solidFill>
          </w14:textFill>
        </w:rPr>
        <w:t>通过和解或者调解解决；不愿和解、调解或者和解、调解不成的，可以选择下列第</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种方式解决：</w:t>
      </w:r>
    </w:p>
    <w:p w14:paraId="522A93D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1.7.1将争议提交</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滁州</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仲裁委员会依申请仲裁时其现行有效的仲裁规则裁决；</w:t>
      </w:r>
    </w:p>
    <w:p w14:paraId="7B16FD6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1.7.2向</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滁州市</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人民法院起诉。</w:t>
      </w:r>
    </w:p>
    <w:p w14:paraId="158CAFE8">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67" w:name="_Toc7245"/>
      <w:bookmarkStart w:id="68" w:name="_Toc15322"/>
      <w:bookmarkStart w:id="69" w:name="_Toc11173"/>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1.8</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合同生效</w:t>
      </w:r>
      <w:bookmarkEnd w:id="67"/>
      <w:bookmarkEnd w:id="68"/>
      <w:bookmarkEnd w:id="69"/>
    </w:p>
    <w:p w14:paraId="61DC675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本合同自</w:t>
      </w:r>
      <w:r>
        <w:rPr>
          <w:rFonts w:hint="eastAsia" w:cs="Times New Roman" w:asciiTheme="minorEastAsia" w:hAnsiTheme="minorEastAsia" w:eastAsiaTheme="minorEastAsia"/>
          <w:color w:val="000000" w:themeColor="text1"/>
          <w:sz w:val="24"/>
          <w:szCs w:val="24"/>
          <w14:textFill>
            <w14:solidFill>
              <w14:schemeClr w14:val="tx1"/>
            </w14:solidFill>
          </w14:textFill>
        </w:rPr>
        <w:t>双方当事人盖章时</w:t>
      </w:r>
      <w:r>
        <w:rPr>
          <w:rFonts w:cs="Times New Roman" w:asciiTheme="minorEastAsia" w:hAnsiTheme="minorEastAsia" w:eastAsiaTheme="minorEastAsia"/>
          <w:color w:val="000000" w:themeColor="text1"/>
          <w:sz w:val="24"/>
          <w:szCs w:val="24"/>
          <w14:textFill>
            <w14:solidFill>
              <w14:schemeClr w14:val="tx1"/>
            </w14:solidFill>
          </w14:textFill>
        </w:rPr>
        <w:t>生效。</w:t>
      </w:r>
    </w:p>
    <w:p w14:paraId="2C593DCB">
      <w:pPr>
        <w:autoSpaceDE w:val="0"/>
        <w:autoSpaceDN w:val="0"/>
        <w:adjustRightInd w:val="0"/>
        <w:spacing w:line="560" w:lineRule="exact"/>
        <w:rPr>
          <w:rFonts w:cs="Times New Roman" w:asciiTheme="minorEastAsia" w:hAnsiTheme="minorEastAsia" w:eastAsiaTheme="minorEastAsia"/>
          <w:bCs/>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 xml:space="preserve">甲 </w:t>
      </w:r>
      <w:r>
        <w:rPr>
          <w:rFonts w:cs="Times New Roman" w:asciiTheme="minorEastAsia" w:hAnsiTheme="minorEastAsia" w:eastAsiaTheme="minorEastAsia"/>
          <w:bCs/>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方：</w:t>
      </w:r>
      <w:r>
        <w:rPr>
          <w:rFonts w:hint="eastAsia" w:cs="Times New Roman" w:asciiTheme="minorEastAsia" w:hAnsiTheme="minorEastAsia" w:eastAsiaTheme="minorEastAsia"/>
          <w:bCs/>
          <w:color w:val="000000" w:themeColor="text1"/>
          <w:sz w:val="24"/>
          <w:szCs w:val="24"/>
          <w:u w:val="single"/>
          <w:lang w:val="zh-CN"/>
          <w14:textFill>
            <w14:solidFill>
              <w14:schemeClr w14:val="tx1"/>
            </w14:solidFill>
          </w14:textFill>
        </w:rPr>
        <w:t xml:space="preserve">    （单位盖章）     </w:t>
      </w: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 xml:space="preserve">          乙方：</w:t>
      </w:r>
      <w:r>
        <w:rPr>
          <w:rFonts w:hint="eastAsia" w:cs="Times New Roman" w:asciiTheme="minorEastAsia" w:hAnsiTheme="minorEastAsia" w:eastAsiaTheme="minorEastAsia"/>
          <w:bCs/>
          <w:color w:val="000000" w:themeColor="text1"/>
          <w:sz w:val="24"/>
          <w:szCs w:val="24"/>
          <w:u w:val="single"/>
          <w:lang w:val="zh-CN"/>
          <w14:textFill>
            <w14:solidFill>
              <w14:schemeClr w14:val="tx1"/>
            </w14:solidFill>
          </w14:textFill>
        </w:rPr>
        <w:t xml:space="preserve">    （单位盖章）     </w:t>
      </w:r>
    </w:p>
    <w:p w14:paraId="3A9BF5FE">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 xml:space="preserve">法定代表人                             </w:t>
      </w:r>
      <w:r>
        <w:rPr>
          <w:rFonts w:cs="Times New Roman" w:asciiTheme="minorEastAsia" w:hAnsiTheme="minorEastAsia" w:eastAsiaTheme="minorEastAsia"/>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法定代表人</w:t>
      </w:r>
    </w:p>
    <w:p w14:paraId="50835466">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或授权代表（签字）：                      或授权代表（签字）：</w:t>
      </w:r>
    </w:p>
    <w:p w14:paraId="332D4CD3">
      <w:pPr>
        <w:widowControl/>
        <w:spacing w:line="560" w:lineRule="exact"/>
        <w:jc w:val="left"/>
        <w:rPr>
          <w:rFonts w:cs="Times New Roman" w:asciiTheme="minorEastAsia" w:hAnsiTheme="minorEastAsia" w:eastAsiaTheme="minorEastAsia"/>
          <w:bCs/>
          <w:color w:val="000000" w:themeColor="text1"/>
          <w:sz w:val="24"/>
          <w:szCs w:val="24"/>
          <w14:textFill>
            <w14:solidFill>
              <w14:schemeClr w14:val="tx1"/>
            </w14:solidFill>
          </w14:textFill>
        </w:rPr>
      </w:pPr>
      <w:bookmarkStart w:id="70" w:name="_Toc331685783"/>
      <w:r>
        <w:rPr>
          <w:rFonts w:hint="eastAsia" w:cs="Times New Roman" w:asciiTheme="minorEastAsia" w:hAnsiTheme="minorEastAsia" w:eastAsiaTheme="minorEastAsia"/>
          <w:bCs/>
          <w:color w:val="000000" w:themeColor="text1"/>
          <w:sz w:val="24"/>
          <w:szCs w:val="24"/>
          <w14:textFill>
            <w14:solidFill>
              <w14:schemeClr w14:val="tx1"/>
            </w14:solidFill>
          </w14:textFill>
        </w:rPr>
        <w:t>时间：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日               时间：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日</w:t>
      </w:r>
    </w:p>
    <w:p w14:paraId="1A672657">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w:t>
      </w:r>
      <w:bookmarkStart w:id="71" w:name="_Hlk110099149"/>
      <w:r>
        <w:rPr>
          <w:rFonts w:hint="eastAsia" w:ascii="宋体" w:hAnsi="宋体" w:eastAsia="宋体"/>
          <w:color w:val="000000" w:themeColor="text1"/>
          <w:sz w:val="24"/>
          <w:szCs w:val="24"/>
          <w14:textFill>
            <w14:solidFill>
              <w14:schemeClr w14:val="tx1"/>
            </w14:solidFill>
          </w14:textFill>
        </w:rPr>
        <w:t>乙方账户信息</w:t>
      </w:r>
    </w:p>
    <w:p w14:paraId="02371704">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户名：</w:t>
      </w:r>
      <w:r>
        <w:rPr>
          <w:rFonts w:hint="eastAsia" w:ascii="宋体" w:hAnsi="宋体" w:eastAsia="宋体"/>
          <w:color w:val="000000" w:themeColor="text1"/>
          <w:sz w:val="24"/>
          <w:szCs w:val="24"/>
          <w:u w:val="single"/>
          <w14:textFill>
            <w14:solidFill>
              <w14:schemeClr w14:val="tx1"/>
            </w14:solidFill>
          </w14:textFill>
        </w:rPr>
        <w:t xml:space="preserve">            </w:t>
      </w:r>
    </w:p>
    <w:p w14:paraId="3B87CF24">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账号：</w:t>
      </w:r>
      <w:r>
        <w:rPr>
          <w:rFonts w:hint="eastAsia" w:ascii="宋体" w:hAnsi="宋体" w:eastAsia="宋体"/>
          <w:color w:val="000000" w:themeColor="text1"/>
          <w:sz w:val="24"/>
          <w:szCs w:val="24"/>
          <w:u w:val="single"/>
          <w14:textFill>
            <w14:solidFill>
              <w14:schemeClr w14:val="tx1"/>
            </w14:solidFill>
          </w14:textFill>
        </w:rPr>
        <w:t xml:space="preserve">            </w:t>
      </w:r>
    </w:p>
    <w:p w14:paraId="5C08D482">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开户银行：</w:t>
      </w:r>
      <w:r>
        <w:rPr>
          <w:rFonts w:hint="eastAsia" w:ascii="宋体" w:hAnsi="宋体" w:eastAsia="宋体"/>
          <w:color w:val="000000" w:themeColor="text1"/>
          <w:sz w:val="24"/>
          <w:szCs w:val="24"/>
          <w:u w:val="single"/>
          <w14:textFill>
            <w14:solidFill>
              <w14:schemeClr w14:val="tx1"/>
            </w14:solidFill>
          </w14:textFill>
        </w:rPr>
        <w:t xml:space="preserve">        </w:t>
      </w:r>
    </w:p>
    <w:bookmarkEnd w:id="71"/>
    <w:p w14:paraId="5B9AD8EA">
      <w:pPr>
        <w:widowControl/>
        <w:jc w:val="left"/>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br w:type="page"/>
      </w:r>
    </w:p>
    <w:p w14:paraId="150D5081">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72" w:name="_Toc415"/>
      <w:r>
        <w:rPr>
          <w:rFonts w:hint="eastAsia" w:asciiTheme="minorEastAsia" w:hAnsiTheme="minorEastAsia" w:eastAsiaTheme="minorEastAsia"/>
          <w:b/>
          <w:color w:val="000000" w:themeColor="text1"/>
          <w:sz w:val="24"/>
          <w14:textFill>
            <w14:solidFill>
              <w14:schemeClr w14:val="tx1"/>
            </w14:solidFill>
          </w14:textFill>
        </w:rPr>
        <w:t>第二部分</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合同一般条款</w:t>
      </w:r>
      <w:bookmarkEnd w:id="70"/>
      <w:bookmarkEnd w:id="72"/>
    </w:p>
    <w:p w14:paraId="52DE4C6B">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73" w:name="_Toc28763"/>
      <w:bookmarkStart w:id="74" w:name="_Ref467379195"/>
      <w:bookmarkStart w:id="75" w:name="_Toc259093669"/>
      <w:bookmarkStart w:id="76" w:name="_Ref467379214"/>
      <w:bookmarkStart w:id="77" w:name="_Ref467378404"/>
      <w:bookmarkStart w:id="78" w:name="_Ref467378463"/>
      <w:bookmarkStart w:id="79" w:name="_Ref467378499"/>
      <w:bookmarkStart w:id="80" w:name="_Toc19614"/>
      <w:bookmarkStart w:id="81" w:name="_Ref467379094"/>
      <w:bookmarkStart w:id="82" w:name="_Ref467379205"/>
      <w:bookmarkStart w:id="83" w:name="_Ref467379101"/>
      <w:bookmarkStart w:id="84" w:name="_Toc487900349"/>
      <w:bookmarkStart w:id="85" w:name="_Toc16917"/>
      <w:bookmarkStart w:id="86" w:name="_Ref467379225"/>
      <w:bookmarkStart w:id="87" w:name="_Ref467379109"/>
      <w:bookmarkStart w:id="88" w:name="_Toc279701240"/>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定义</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0EC9A2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本合同中的下列</w:t>
      </w:r>
      <w:r>
        <w:rPr>
          <w:rFonts w:hint="eastAsia" w:cs="Times New Roman" w:asciiTheme="minorEastAsia" w:hAnsiTheme="minorEastAsia" w:eastAsiaTheme="minorEastAsia"/>
          <w:color w:val="000000" w:themeColor="text1"/>
          <w:sz w:val="24"/>
          <w:szCs w:val="24"/>
          <w14:textFill>
            <w14:solidFill>
              <w14:schemeClr w14:val="tx1"/>
            </w14:solidFill>
          </w14:textFill>
        </w:rPr>
        <w:t>词</w:t>
      </w:r>
      <w:r>
        <w:rPr>
          <w:rFonts w:cs="Times New Roman" w:asciiTheme="minorEastAsia" w:hAnsiTheme="minorEastAsia" w:eastAsiaTheme="minorEastAsia"/>
          <w:color w:val="000000" w:themeColor="text1"/>
          <w:sz w:val="24"/>
          <w:szCs w:val="24"/>
          <w14:textFill>
            <w14:solidFill>
              <w14:schemeClr w14:val="tx1"/>
            </w14:solidFill>
          </w14:textFill>
        </w:rPr>
        <w:t>语应</w:t>
      </w:r>
      <w:r>
        <w:rPr>
          <w:rFonts w:hint="eastAsia" w:cs="Times New Roman" w:asciiTheme="minorEastAsia" w:hAnsiTheme="minorEastAsia" w:eastAsiaTheme="minorEastAsia"/>
          <w:color w:val="000000" w:themeColor="text1"/>
          <w:sz w:val="24"/>
          <w:szCs w:val="24"/>
          <w14:textFill>
            <w14:solidFill>
              <w14:schemeClr w14:val="tx1"/>
            </w14:solidFill>
          </w14:textFill>
        </w:rPr>
        <w:t>按以下内容进行</w:t>
      </w:r>
      <w:r>
        <w:rPr>
          <w:rFonts w:cs="Times New Roman" w:asciiTheme="minorEastAsia" w:hAnsiTheme="minorEastAsia" w:eastAsiaTheme="minorEastAsia"/>
          <w:color w:val="000000" w:themeColor="text1"/>
          <w:sz w:val="24"/>
          <w:szCs w:val="24"/>
          <w14:textFill>
            <w14:solidFill>
              <w14:schemeClr w14:val="tx1"/>
            </w14:solidFill>
          </w14:textFill>
        </w:rPr>
        <w:t>解释：</w:t>
      </w:r>
    </w:p>
    <w:p w14:paraId="5E3EC19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.1</w:t>
      </w:r>
      <w:r>
        <w:rPr>
          <w:rFonts w:cs="Times New Roman" w:asciiTheme="minorEastAsia" w:hAnsiTheme="minorEastAsia" w:eastAsiaTheme="minorEastAsia"/>
          <w:color w:val="000000" w:themeColor="text1"/>
          <w:sz w:val="24"/>
          <w:szCs w:val="24"/>
          <w14:textFill>
            <w14:solidFill>
              <w14:schemeClr w14:val="tx1"/>
            </w14:solidFill>
          </w14:textFill>
        </w:rPr>
        <w:t>“合同”系指采购人和中标人签订的载明双方当事人所达成的协议，并包括所有的附件、附录和构成合同的其他文件。</w:t>
      </w:r>
    </w:p>
    <w:p w14:paraId="21393DD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1.2“合同价”系指根据合同约定，中标人在完全履行合同义务后</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采购人应支付给中标人的价格。</w:t>
      </w:r>
    </w:p>
    <w:p w14:paraId="5C3AAA0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1.3“</w:t>
      </w:r>
      <w:r>
        <w:rPr>
          <w:rFonts w:hint="eastAsia" w:cs="Times New Roman" w:asciiTheme="minorEastAsia" w:hAnsiTheme="minorEastAsia" w:eastAsiaTheme="minorEastAsia"/>
          <w:color w:val="000000" w:themeColor="text1"/>
          <w:sz w:val="24"/>
          <w:szCs w:val="24"/>
          <w14:textFill>
            <w14:solidFill>
              <w14:schemeClr w14:val="tx1"/>
            </w14:solidFill>
          </w14:textFill>
        </w:rPr>
        <w:t>服务</w:t>
      </w:r>
      <w:r>
        <w:rPr>
          <w:rFonts w:cs="Times New Roman" w:asciiTheme="minorEastAsia" w:hAnsiTheme="minorEastAsia" w:eastAsiaTheme="minorEastAsia"/>
          <w:color w:val="000000" w:themeColor="text1"/>
          <w:sz w:val="24"/>
          <w:szCs w:val="24"/>
          <w14:textFill>
            <w14:solidFill>
              <w14:schemeClr w14:val="tx1"/>
            </w14:solidFill>
          </w14:textFill>
        </w:rPr>
        <w:t>”系指</w:t>
      </w:r>
      <w:r>
        <w:rPr>
          <w:rFonts w:hint="eastAsia" w:cs="Times New Roman" w:asciiTheme="minorEastAsia" w:hAnsiTheme="minorEastAsia" w:eastAsiaTheme="minorEastAsia"/>
          <w:color w:val="000000" w:themeColor="text1"/>
          <w:sz w:val="24"/>
          <w:szCs w:val="24"/>
          <w14:textFill>
            <w14:solidFill>
              <w14:schemeClr w14:val="tx1"/>
            </w14:solidFill>
          </w14:textFill>
        </w:rPr>
        <w:t>中标人</w:t>
      </w:r>
      <w:r>
        <w:rPr>
          <w:rFonts w:cs="Times New Roman" w:asciiTheme="minorEastAsia" w:hAnsiTheme="minorEastAsia" w:eastAsiaTheme="minorEastAsia"/>
          <w:color w:val="000000" w:themeColor="text1"/>
          <w:sz w:val="24"/>
          <w:szCs w:val="24"/>
          <w14:textFill>
            <w14:solidFill>
              <w14:schemeClr w14:val="tx1"/>
            </w14:solidFill>
          </w14:textFill>
        </w:rPr>
        <w:t>根据合同约定应向采购人</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w:t>
      </w:r>
      <w:r>
        <w:rPr>
          <w:rFonts w:hint="eastAsia" w:cs="Times New Roman" w:asciiTheme="minorEastAsia" w:hAnsiTheme="minorEastAsia" w:eastAsiaTheme="minorEastAsia"/>
          <w:color w:val="000000" w:themeColor="text1"/>
          <w:sz w:val="24"/>
          <w:szCs w:val="24"/>
          <w14:textFill>
            <w14:solidFill>
              <w14:schemeClr w14:val="tx1"/>
            </w14:solidFill>
          </w14:textFill>
        </w:rPr>
        <w:t>除货物和工程以外的其他政府采购对象，包括采购人自身需要的服务和向社会公众提供的公共服务。</w:t>
      </w:r>
    </w:p>
    <w:p w14:paraId="16AD01F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89" w:name="_Ref467378840"/>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4</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甲方</w:t>
      </w:r>
      <w:r>
        <w:rPr>
          <w:rFonts w:cs="Times New Roman" w:asciiTheme="minorEastAsia" w:hAnsiTheme="minorEastAsia" w:eastAsiaTheme="minorEastAsia"/>
          <w:color w:val="000000" w:themeColor="text1"/>
          <w:sz w:val="24"/>
          <w:szCs w:val="24"/>
          <w14:textFill>
            <w14:solidFill>
              <w14:schemeClr w14:val="tx1"/>
            </w14:solidFill>
          </w14:textFill>
        </w:rPr>
        <w:t>”系指与</w:t>
      </w:r>
      <w:r>
        <w:rPr>
          <w:rFonts w:hint="eastAsia" w:cs="Times New Roman" w:asciiTheme="minorEastAsia" w:hAnsiTheme="minorEastAsia" w:eastAsiaTheme="minorEastAsia"/>
          <w:color w:val="000000" w:themeColor="text1"/>
          <w:sz w:val="24"/>
          <w:szCs w:val="24"/>
          <w14:textFill>
            <w14:solidFill>
              <w14:schemeClr w14:val="tx1"/>
            </w14:solidFill>
          </w14:textFill>
        </w:rPr>
        <w:t>中标人</w:t>
      </w:r>
      <w:r>
        <w:rPr>
          <w:rFonts w:cs="Times New Roman" w:asciiTheme="minorEastAsia" w:hAnsiTheme="minorEastAsia" w:eastAsiaTheme="minorEastAsia"/>
          <w:color w:val="000000" w:themeColor="text1"/>
          <w:sz w:val="24"/>
          <w:szCs w:val="24"/>
          <w14:textFill>
            <w14:solidFill>
              <w14:schemeClr w14:val="tx1"/>
            </w14:solidFill>
          </w14:textFill>
        </w:rPr>
        <w:t>签署合同的采购人</w:t>
      </w:r>
      <w:bookmarkEnd w:id="89"/>
      <w:r>
        <w:rPr>
          <w:rFonts w:hint="eastAsia" w:cs="Times New Roman" w:asciiTheme="minorEastAsia" w:hAnsiTheme="minorEastAsia" w:eastAsiaTheme="minorEastAsia"/>
          <w:color w:val="000000" w:themeColor="text1"/>
          <w:sz w:val="24"/>
          <w:szCs w:val="24"/>
          <w14:textFill>
            <w14:solidFill>
              <w14:schemeClr w14:val="tx1"/>
            </w14:solidFill>
          </w14:textFill>
        </w:rPr>
        <w:t>；采购人委托采购代理机构代表其与乙方签订合同的，采购人的授权委托书作为合同附件。</w:t>
      </w:r>
    </w:p>
    <w:p w14:paraId="6F109A8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90" w:name="_Ref467379400"/>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5</w:t>
      </w:r>
      <w:r>
        <w:rPr>
          <w:rFonts w:cs="Times New Roman" w:asciiTheme="minorEastAsia" w:hAnsiTheme="minorEastAsia" w:eastAsiaTheme="minorEastAsia"/>
          <w:color w:val="000000" w:themeColor="text1"/>
          <w:sz w:val="24"/>
          <w:szCs w:val="24"/>
          <w14:textFill>
            <w14:solidFill>
              <w14:schemeClr w14:val="tx1"/>
            </w14:solidFill>
          </w14:textFill>
        </w:rPr>
        <w:t>“乙方”系指根据合同约定</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的中标人</w:t>
      </w:r>
      <w:bookmarkEnd w:id="90"/>
      <w:r>
        <w:rPr>
          <w:rFonts w:hint="eastAsia" w:cs="Times New Roman" w:asciiTheme="minorEastAsia" w:hAnsiTheme="minorEastAsia" w:eastAsiaTheme="minorEastAsia"/>
          <w:color w:val="000000" w:themeColor="text1"/>
          <w:sz w:val="24"/>
          <w:szCs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099A7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91" w:name="_Ref467379436"/>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6</w:t>
      </w:r>
      <w:r>
        <w:rPr>
          <w:rFonts w:cs="Times New Roman" w:asciiTheme="minorEastAsia" w:hAnsiTheme="minorEastAsia" w:eastAsiaTheme="minorEastAsia"/>
          <w:color w:val="000000" w:themeColor="text1"/>
          <w:sz w:val="24"/>
          <w:szCs w:val="24"/>
          <w14:textFill>
            <w14:solidFill>
              <w14:schemeClr w14:val="tx1"/>
            </w14:solidFill>
          </w14:textFill>
        </w:rPr>
        <w:t>“现场”系指合同约定</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的地点。</w:t>
      </w:r>
      <w:bookmarkEnd w:id="91"/>
    </w:p>
    <w:p w14:paraId="24E85765">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92" w:name="_Toc279701241"/>
      <w:bookmarkStart w:id="93" w:name="_Toc32504"/>
      <w:bookmarkStart w:id="94" w:name="_Toc13336"/>
      <w:bookmarkStart w:id="95" w:name="_Toc487900350"/>
      <w:bookmarkStart w:id="96" w:name="_Toc27635"/>
      <w:bookmarkStart w:id="97" w:name="_Toc259093670"/>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2 技术规范</w:t>
      </w:r>
      <w:bookmarkEnd w:id="92"/>
      <w:bookmarkEnd w:id="93"/>
      <w:bookmarkEnd w:id="94"/>
      <w:bookmarkEnd w:id="95"/>
      <w:bookmarkEnd w:id="96"/>
      <w:bookmarkEnd w:id="97"/>
    </w:p>
    <w:p w14:paraId="5E818F3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如果采购文件中没有技术规范的相应说明，那么应以国家有关部门最新颁布的相应标准</w:t>
      </w:r>
      <w:r>
        <w:rPr>
          <w:rFonts w:hint="eastAsia" w:cs="Times New Roman" w:asciiTheme="minorEastAsia" w:hAnsiTheme="minorEastAsia" w:eastAsiaTheme="minorEastAsia"/>
          <w:color w:val="000000" w:themeColor="text1"/>
          <w:sz w:val="24"/>
          <w:szCs w:val="24"/>
          <w14:textFill>
            <w14:solidFill>
              <w14:schemeClr w14:val="tx1"/>
            </w14:solidFill>
          </w14:textFill>
        </w:rPr>
        <w:t>和</w:t>
      </w:r>
      <w:r>
        <w:rPr>
          <w:rFonts w:cs="Times New Roman" w:asciiTheme="minorEastAsia" w:hAnsiTheme="minorEastAsia" w:eastAsiaTheme="minorEastAsia"/>
          <w:color w:val="000000" w:themeColor="text1"/>
          <w:sz w:val="24"/>
          <w:szCs w:val="24"/>
          <w14:textFill>
            <w14:solidFill>
              <w14:schemeClr w14:val="tx1"/>
            </w14:solidFill>
          </w14:textFill>
        </w:rPr>
        <w:t>规范为准。</w:t>
      </w:r>
    </w:p>
    <w:p w14:paraId="12D731BA">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98" w:name="_Toc259093671"/>
      <w:bookmarkStart w:id="99" w:name="_Toc31634"/>
      <w:bookmarkStart w:id="100" w:name="_Toc9829"/>
      <w:bookmarkStart w:id="101" w:name="_Toc27853"/>
      <w:bookmarkStart w:id="102" w:name="_Toc279701242"/>
      <w:bookmarkStart w:id="103" w:name="_Toc48790035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3 知识产权</w:t>
      </w:r>
      <w:bookmarkEnd w:id="98"/>
      <w:bookmarkEnd w:id="99"/>
      <w:bookmarkEnd w:id="100"/>
      <w:bookmarkEnd w:id="101"/>
      <w:bookmarkEnd w:id="102"/>
      <w:bookmarkEnd w:id="103"/>
    </w:p>
    <w:p w14:paraId="47EFB3E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2.3.1乙</w:t>
      </w:r>
      <w:r>
        <w:rPr>
          <w:rFonts w:cs="Times New Roman" w:asciiTheme="minorEastAsia" w:hAnsiTheme="minorEastAsia" w:eastAsiaTheme="minorEastAsia"/>
          <w:color w:val="000000" w:themeColor="text1"/>
          <w:sz w:val="24"/>
          <w:szCs w:val="24"/>
          <w14:textFill>
            <w14:solidFill>
              <w14:schemeClr w14:val="tx1"/>
            </w14:solidFill>
          </w14:textFill>
        </w:rPr>
        <w:t>方应保证</w:t>
      </w:r>
      <w:r>
        <w:rPr>
          <w:rFonts w:hint="eastAsia" w:cs="Times New Roman" w:asciiTheme="minorEastAsia" w:hAnsiTheme="minorEastAsia" w:eastAsiaTheme="minorEastAsia"/>
          <w:color w:val="000000" w:themeColor="text1"/>
          <w:sz w:val="24"/>
          <w:szCs w:val="24"/>
          <w14:textFill>
            <w14:solidFill>
              <w14:schemeClr w14:val="tx1"/>
            </w14:solidFill>
          </w14:textFill>
        </w:rPr>
        <w:t>其提供的服务</w:t>
      </w:r>
      <w:r>
        <w:rPr>
          <w:rFonts w:cs="Times New Roman" w:asciiTheme="minorEastAsia" w:hAnsiTheme="minorEastAsia" w:eastAsiaTheme="minorEastAsia"/>
          <w:color w:val="000000" w:themeColor="text1"/>
          <w:sz w:val="24"/>
          <w:szCs w:val="24"/>
          <w14:textFill>
            <w14:solidFill>
              <w14:schemeClr w14:val="tx1"/>
            </w14:solidFill>
          </w14:textFill>
        </w:rPr>
        <w:t>不受任何第三方提出的侵犯其著作权、商标权、专利权等知识产权方面的起诉</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如果任何第三方提出侵权</w:t>
      </w:r>
      <w:r>
        <w:rPr>
          <w:rFonts w:hint="eastAsia" w:cs="Times New Roman" w:asciiTheme="minorEastAsia" w:hAnsiTheme="minorEastAsia" w:eastAsiaTheme="minorEastAsia"/>
          <w:color w:val="000000" w:themeColor="text1"/>
          <w:sz w:val="24"/>
          <w:szCs w:val="24"/>
          <w14:textFill>
            <w14:solidFill>
              <w14:schemeClr w14:val="tx1"/>
            </w14:solidFill>
          </w14:textFill>
        </w:rPr>
        <w:t>指控</w:t>
      </w:r>
      <w:r>
        <w:rPr>
          <w:rFonts w:cs="Times New Roman" w:asciiTheme="minorEastAsia" w:hAnsiTheme="minorEastAsia" w:eastAsiaTheme="minorEastAsia"/>
          <w:color w:val="000000" w:themeColor="text1"/>
          <w:sz w:val="24"/>
          <w:szCs w:val="24"/>
          <w14:textFill>
            <w14:solidFill>
              <w14:schemeClr w14:val="tx1"/>
            </w14:solidFill>
          </w14:textFill>
        </w:rPr>
        <w:t>，那么乙方须与该第三方交涉并承担由此发生的一切责任、费用和赔偿</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4EF6C3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2.3.2具有知识产权的计算机软件等货物的知识产权归属，</w:t>
      </w:r>
      <w:r>
        <w:rPr>
          <w:rFonts w:cs="Times New Roman" w:asciiTheme="minorEastAsia" w:hAnsiTheme="minorEastAsia" w:eastAsiaTheme="minorEastAsia"/>
          <w:color w:val="000000" w:themeColor="text1"/>
          <w:sz w:val="24"/>
          <w:szCs w:val="24"/>
          <w14:textFill>
            <w14:solidFill>
              <w14:schemeClr w14:val="tx1"/>
            </w14:solidFill>
          </w14:textFill>
        </w:rPr>
        <w:t>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w:t>
      </w:r>
    </w:p>
    <w:p w14:paraId="597C1919">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04" w:name="_Toc279701245"/>
      <w:bookmarkStart w:id="105" w:name="_Toc259093674"/>
      <w:bookmarkStart w:id="106" w:name="_Ref467379536"/>
      <w:bookmarkStart w:id="107" w:name="_Ref467378541"/>
      <w:bookmarkStart w:id="108" w:name="_Ref467378591"/>
      <w:bookmarkStart w:id="109" w:name="_Ref467379542"/>
      <w:bookmarkStart w:id="110" w:name="_Toc487900354"/>
      <w:bookmarkStart w:id="111" w:name="_Ref467379527"/>
      <w:bookmarkStart w:id="112" w:name="_Toc26182"/>
      <w:bookmarkStart w:id="113" w:name="_Toc19074"/>
      <w:bookmarkStart w:id="114" w:name="_Toc30272"/>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bookmarkEnd w:id="104"/>
      <w:bookmarkEnd w:id="105"/>
      <w:bookmarkEnd w:id="106"/>
      <w:bookmarkEnd w:id="107"/>
      <w:bookmarkEnd w:id="108"/>
      <w:bookmarkEnd w:id="109"/>
      <w:bookmarkEnd w:id="110"/>
      <w:bookmarkEnd w:id="111"/>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4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履约检查和问题反馈</w:t>
      </w:r>
      <w:bookmarkEnd w:id="112"/>
      <w:bookmarkEnd w:id="113"/>
      <w:bookmarkEnd w:id="114"/>
    </w:p>
    <w:p w14:paraId="49E5ADC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115" w:name="_Toc186431854"/>
      <w:bookmarkStart w:id="116" w:name="_Toc259093676"/>
      <w:bookmarkStart w:id="117" w:name="_Toc279701247"/>
      <w:bookmarkStart w:id="118" w:name="_Ref467379793"/>
      <w:bookmarkStart w:id="119" w:name="_Ref467379807"/>
      <w:bookmarkStart w:id="120" w:name="_Toc487900357"/>
      <w:r>
        <w:rPr>
          <w:rFonts w:hint="eastAsia" w:cs="Times New Roman" w:asciiTheme="minorEastAsia" w:hAnsiTheme="minorEastAsia" w:eastAsiaTheme="minorEastAsia"/>
          <w:color w:val="000000" w:themeColor="text1"/>
          <w:sz w:val="24"/>
          <w:szCs w:val="24"/>
          <w14:textFill>
            <w14:solidFill>
              <w14:schemeClr w14:val="tx1"/>
            </w14:solidFill>
          </w14:textFill>
        </w:rPr>
        <w:t>2.4</w:t>
      </w:r>
      <w:r>
        <w:rPr>
          <w:rFonts w:cs="Times New Roman" w:asciiTheme="minorEastAsia" w:hAnsiTheme="minorEastAsia" w:eastAsiaTheme="minorEastAsia"/>
          <w:color w:val="000000" w:themeColor="text1"/>
          <w:sz w:val="24"/>
          <w:szCs w:val="24"/>
          <w14:textFill>
            <w14:solidFill>
              <w14:schemeClr w14:val="tx1"/>
            </w14:solidFill>
          </w14:textFill>
        </w:rPr>
        <w:t>.1甲方</w:t>
      </w:r>
      <w:r>
        <w:rPr>
          <w:rFonts w:hint="eastAsia" w:cs="Times New Roman" w:asciiTheme="minorEastAsia" w:hAnsiTheme="minorEastAsia" w:eastAsiaTheme="minorEastAsia"/>
          <w:color w:val="000000" w:themeColor="text1"/>
          <w:sz w:val="24"/>
          <w:szCs w:val="24"/>
          <w14:textFill>
            <w14:solidFill>
              <w14:schemeClr w14:val="tx1"/>
            </w14:solidFill>
          </w14:textFill>
        </w:rPr>
        <w:t>有权</w:t>
      </w:r>
      <w:r>
        <w:rPr>
          <w:rFonts w:cs="Times New Roman" w:asciiTheme="minorEastAsia" w:hAnsiTheme="minorEastAsia" w:eastAsiaTheme="minorEastAsia"/>
          <w:color w:val="000000" w:themeColor="text1"/>
          <w:sz w:val="24"/>
          <w:szCs w:val="24"/>
          <w14:textFill>
            <w14:solidFill>
              <w14:schemeClr w14:val="tx1"/>
            </w14:solidFill>
          </w14:textFill>
        </w:rPr>
        <w:t>在其认为必要时</w:t>
      </w:r>
      <w:r>
        <w:rPr>
          <w:rFonts w:hint="eastAsia" w:cs="Times New Roman" w:asciiTheme="minorEastAsia" w:hAnsiTheme="minorEastAsia" w:eastAsiaTheme="minorEastAsia"/>
          <w:color w:val="000000" w:themeColor="text1"/>
          <w:sz w:val="24"/>
          <w:szCs w:val="24"/>
          <w14:textFill>
            <w14:solidFill>
              <w14:schemeClr w14:val="tx1"/>
            </w14:solidFill>
          </w14:textFill>
        </w:rPr>
        <w:t>，对乙方是否能够按照合同约定提供服务进行履约检查，以确保乙方所提供的服务能够依约满足甲方项目需求，但不得因履约检查妨碍乙方的正常工作，乙方应予积极配合；</w:t>
      </w:r>
    </w:p>
    <w:p w14:paraId="4F0AE86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.2合同履行期间，甲方有权将履行过程中出现的问题反馈给乙方，双方当事人应以书面形式约定需要完善和改进的内容</w:t>
      </w:r>
      <w:bookmarkEnd w:id="115"/>
      <w:bookmarkStart w:id="121" w:name="_Toc186431855"/>
      <w:r>
        <w:rPr>
          <w:rFonts w:hint="eastAsia" w:cs="Times New Roman" w:asciiTheme="minorEastAsia" w:hAnsiTheme="minorEastAsia" w:eastAsiaTheme="minorEastAsia"/>
          <w:color w:val="000000" w:themeColor="text1"/>
          <w:sz w:val="24"/>
          <w:szCs w:val="24"/>
          <w14:textFill>
            <w14:solidFill>
              <w14:schemeClr w14:val="tx1"/>
            </w14:solidFill>
          </w14:textFill>
        </w:rPr>
        <w:t>。</w:t>
      </w:r>
    </w:p>
    <w:bookmarkEnd w:id="121"/>
    <w:p w14:paraId="6EAD1D07">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22" w:name="_Toc28451"/>
      <w:bookmarkStart w:id="123" w:name="_Toc19219"/>
      <w:bookmarkStart w:id="124" w:name="_Toc783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结算方式和付款条件</w:t>
      </w:r>
      <w:bookmarkEnd w:id="116"/>
      <w:bookmarkEnd w:id="117"/>
      <w:bookmarkEnd w:id="118"/>
      <w:bookmarkEnd w:id="119"/>
      <w:bookmarkEnd w:id="120"/>
      <w:bookmarkEnd w:id="122"/>
      <w:bookmarkEnd w:id="123"/>
      <w:bookmarkEnd w:id="124"/>
    </w:p>
    <w:p w14:paraId="0A111DB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w:t>
      </w:r>
    </w:p>
    <w:p w14:paraId="529C3283">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25" w:name="_Toc487900358"/>
      <w:bookmarkStart w:id="126" w:name="_Ref467379923"/>
      <w:bookmarkStart w:id="127" w:name="_Ref467379852"/>
      <w:bookmarkStart w:id="128" w:name="_Toc259093677"/>
      <w:bookmarkStart w:id="129" w:name="_Toc279701248"/>
      <w:bookmarkStart w:id="130" w:name="_Ref467379863"/>
      <w:bookmarkStart w:id="131" w:name="_Toc3225"/>
      <w:bookmarkStart w:id="132" w:name="_Toc774"/>
      <w:bookmarkStart w:id="133" w:name="_Toc16110"/>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6</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技术资料</w:t>
      </w:r>
      <w:bookmarkEnd w:id="125"/>
      <w:bookmarkEnd w:id="126"/>
      <w:bookmarkEnd w:id="127"/>
      <w:bookmarkEnd w:id="128"/>
      <w:bookmarkEnd w:id="129"/>
      <w:bookmarkEnd w:id="130"/>
      <w:r>
        <w:rPr>
          <w:rFonts w:cs="Times New Roman" w:asciiTheme="minorEastAsia" w:hAnsiTheme="minorEastAsia" w:eastAsiaTheme="minorEastAsia"/>
          <w:b/>
          <w:bCs/>
          <w:color w:val="000000" w:themeColor="text1"/>
          <w:sz w:val="24"/>
          <w:szCs w:val="24"/>
          <w:lang w:val="zh-CN"/>
          <w14:textFill>
            <w14:solidFill>
              <w14:schemeClr w14:val="tx1"/>
            </w14:solidFill>
          </w14:textFill>
        </w:rPr>
        <w:t>和保密义务</w:t>
      </w:r>
      <w:bookmarkEnd w:id="131"/>
      <w:bookmarkEnd w:id="132"/>
      <w:bookmarkEnd w:id="133"/>
    </w:p>
    <w:p w14:paraId="0304A1F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6.1</w:t>
      </w:r>
      <w:r>
        <w:rPr>
          <w:rFonts w:hint="eastAsia" w:cs="Times New Roman" w:asciiTheme="minorEastAsia" w:hAnsiTheme="minorEastAsia" w:eastAsiaTheme="minorEastAsia"/>
          <w:color w:val="000000" w:themeColor="text1"/>
          <w:sz w:val="24"/>
          <w:szCs w:val="24"/>
          <w14:textFill>
            <w14:solidFill>
              <w14:schemeClr w14:val="tx1"/>
            </w14:solidFill>
          </w14:textFill>
        </w:rPr>
        <w:t>乙方有权依据合同约定和项目需要，向甲方了解有关情况，调阅有关资料等，甲方应予积极配合；</w:t>
      </w:r>
    </w:p>
    <w:p w14:paraId="1D2E628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w:t>
      </w:r>
      <w:r>
        <w:rPr>
          <w:rFonts w:hint="eastAsia" w:cs="Times New Roman" w:asciiTheme="minorEastAsia" w:hAnsiTheme="minorEastAsia" w:eastAsiaTheme="minorEastAsia"/>
          <w:color w:val="000000" w:themeColor="text1"/>
          <w:sz w:val="24"/>
          <w:szCs w:val="24"/>
          <w14:textFill>
            <w14:solidFill>
              <w14:schemeClr w14:val="tx1"/>
            </w14:solidFill>
          </w14:textFill>
        </w:rPr>
        <w:t>.2乙方有义务妥善保管和保护由甲方提供的前款信息和资料等；</w:t>
      </w:r>
    </w:p>
    <w:p w14:paraId="6AD1084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w:t>
      </w:r>
      <w:r>
        <w:rPr>
          <w:rFonts w:hint="eastAsia" w:cs="Times New Roman" w:asciiTheme="minorEastAsia" w:hAnsiTheme="minorEastAsia" w:eastAsiaTheme="minorEastAsia"/>
          <w:color w:val="000000" w:themeColor="text1"/>
          <w:sz w:val="24"/>
          <w:szCs w:val="24"/>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000000" w:themeColor="text1"/>
          <w:sz w:val="24"/>
          <w:szCs w:val="24"/>
          <w14:textFill>
            <w14:solidFill>
              <w14:schemeClr w14:val="tx1"/>
            </w14:solidFill>
          </w14:textFill>
        </w:rPr>
        <w:t>技术情报</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技术资料</w:t>
      </w:r>
      <w:r>
        <w:rPr>
          <w:rFonts w:hint="eastAsia" w:cs="Times New Roman" w:asciiTheme="minorEastAsia" w:hAnsiTheme="minorEastAsia" w:eastAsiaTheme="minorEastAsia"/>
          <w:color w:val="000000" w:themeColor="text1"/>
          <w:sz w:val="24"/>
          <w:szCs w:val="24"/>
          <w14:textFill>
            <w14:solidFill>
              <w14:schemeClr w14:val="tx1"/>
            </w14:solidFill>
          </w14:textFill>
        </w:rPr>
        <w:t>、商业秘密和商业信息等，并采取一切合理和必要措施和方式防止任何第三方接触到对方当事人的上述保密信息和资料。</w:t>
      </w:r>
    </w:p>
    <w:p w14:paraId="16446A7E">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34" w:name="_Toc7860"/>
      <w:r>
        <w:rPr>
          <w:rFonts w:cs="Times New Roman" w:asciiTheme="minorEastAsia" w:hAnsiTheme="minorEastAsia" w:eastAsiaTheme="minorEastAsia"/>
          <w:b/>
          <w:bCs/>
          <w:color w:val="000000" w:themeColor="text1"/>
          <w:sz w:val="24"/>
          <w:szCs w:val="24"/>
          <w:lang w:val="zh-CN"/>
          <w14:textFill>
            <w14:solidFill>
              <w14:schemeClr w14:val="tx1"/>
            </w14:solidFill>
          </w14:textFill>
        </w:rPr>
        <w:t>2.7 质量保证</w:t>
      </w:r>
      <w:bookmarkEnd w:id="13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w:t>
      </w:r>
      <w:r>
        <w:rPr>
          <w:rFonts w:hint="eastAsia" w:cs="Times New Roman" w:asciiTheme="minorEastAsia" w:hAnsiTheme="minorEastAsia" w:eastAsiaTheme="minorEastAsia"/>
          <w:b/>
          <w:bCs/>
          <w:color w:val="000000" w:themeColor="text1"/>
          <w:sz w:val="24"/>
          <w:szCs w:val="24"/>
          <w:lang w:val="en-US" w:eastAsia="zh-CN"/>
          <w14:textFill>
            <w14:solidFill>
              <w14:schemeClr w14:val="tx1"/>
            </w14:solidFill>
          </w14:textFill>
        </w:rPr>
        <w:t>不采用</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w:t>
      </w:r>
    </w:p>
    <w:p w14:paraId="61A8D16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7</w:t>
      </w:r>
      <w:r>
        <w:rPr>
          <w:rFonts w:hint="eastAsia" w:cs="Times New Roman" w:asciiTheme="minorEastAsia" w:hAnsiTheme="minorEastAsia" w:eastAsiaTheme="minorEastAsia"/>
          <w:color w:val="000000" w:themeColor="text1"/>
          <w:sz w:val="24"/>
          <w:szCs w:val="24"/>
          <w14:textFill>
            <w14:solidFill>
              <w14:schemeClr w14:val="tx1"/>
            </w14:solidFill>
          </w14:textFill>
        </w:rPr>
        <w:t>.1乙方应建立和完善履行合同的内部质量保证体系，并提供相关内部规章制度给甲方，以便甲方进行监督检查；</w:t>
      </w:r>
    </w:p>
    <w:p w14:paraId="3C75A3C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7</w:t>
      </w:r>
      <w:r>
        <w:rPr>
          <w:rFonts w:hint="eastAsia" w:cs="Times New Roman" w:asciiTheme="minorEastAsia" w:hAnsiTheme="minorEastAsia" w:eastAsiaTheme="minorEastAsia"/>
          <w:color w:val="000000" w:themeColor="text1"/>
          <w:sz w:val="24"/>
          <w:szCs w:val="24"/>
          <w14:textFill>
            <w14:solidFill>
              <w14:schemeClr w14:val="tx1"/>
            </w14:solidFill>
          </w14:textFill>
        </w:rPr>
        <w:t>.2乙方应保证履行合同的人员数量和素质、软件和硬件设备的配置、场地、环境和设施等满足全面履行合同的要求，并应接受甲方的监督检查。</w:t>
      </w:r>
    </w:p>
    <w:p w14:paraId="26CA55F3">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35" w:name="_Toc22267"/>
      <w:r>
        <w:rPr>
          <w:rFonts w:hint="eastAsia" w:cs="Times New Roman" w:asciiTheme="minorEastAsia" w:hAnsiTheme="minorEastAsia" w:eastAsiaTheme="minorEastAsia"/>
          <w:b/>
          <w:color w:val="000000" w:themeColor="text1"/>
          <w:sz w:val="24"/>
          <w:szCs w:val="24"/>
          <w14:textFill>
            <w14:solidFill>
              <w14:schemeClr w14:val="tx1"/>
            </w14:solidFill>
          </w14:textFill>
        </w:rPr>
        <w:t>2.8 延迟履行</w:t>
      </w:r>
      <w:bookmarkEnd w:id="135"/>
    </w:p>
    <w:p w14:paraId="42C86F33">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在合同履行过程中，如果乙方遇到不能按时</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的情况，应及时以书面形式将不能按时</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的理由、预期延误时间通知甲方</w:t>
      </w:r>
      <w:r>
        <w:rPr>
          <w:rFonts w:hint="eastAsia" w:cs="Times New Roman" w:asciiTheme="minorEastAsia" w:hAnsiTheme="minorEastAsia" w:eastAsiaTheme="minorEastAsia"/>
          <w:color w:val="000000" w:themeColor="text1"/>
          <w:sz w:val="24"/>
          <w:szCs w:val="24"/>
          <w14:textFill>
            <w14:solidFill>
              <w14:schemeClr w14:val="tx1"/>
            </w14:solidFill>
          </w14:textFill>
        </w:rPr>
        <w:t>；甲</w:t>
      </w:r>
      <w:r>
        <w:rPr>
          <w:rFonts w:cs="Times New Roman" w:asciiTheme="minorEastAsia" w:hAnsiTheme="minorEastAsia" w:eastAsiaTheme="minorEastAsia"/>
          <w:color w:val="000000" w:themeColor="text1"/>
          <w:sz w:val="24"/>
          <w:szCs w:val="24"/>
          <w14:textFill>
            <w14:solidFill>
              <w14:schemeClr w14:val="tx1"/>
            </w14:solidFill>
          </w14:textFill>
        </w:rPr>
        <w:t>方收到乙方通知后，认为其理由正当的，可以书面形式酌情同意乙方可以延长</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的具体时间。</w:t>
      </w:r>
    </w:p>
    <w:p w14:paraId="1B432014">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36" w:name="_Toc7502"/>
      <w:bookmarkStart w:id="137" w:name="_Toc259093683"/>
      <w:bookmarkStart w:id="138" w:name="_Toc279701254"/>
      <w:bookmarkStart w:id="139" w:name="_Ref467378121"/>
      <w:bookmarkStart w:id="140" w:name="_Toc487900364"/>
      <w:r>
        <w:rPr>
          <w:rFonts w:cs="Times New Roman" w:asciiTheme="minorEastAsia" w:hAnsiTheme="minorEastAsia" w:eastAsiaTheme="minorEastAsia"/>
          <w:b/>
          <w:bCs/>
          <w:color w:val="000000" w:themeColor="text1"/>
          <w:sz w:val="24"/>
          <w:szCs w:val="24"/>
          <w:lang w:val="zh-CN"/>
          <w14:textFill>
            <w14:solidFill>
              <w14:schemeClr w14:val="tx1"/>
            </w14:solidFill>
          </w14:textFill>
        </w:rPr>
        <w:t>2.9 合同变更</w:t>
      </w:r>
      <w:bookmarkEnd w:id="136"/>
    </w:p>
    <w:p w14:paraId="47CC93F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9</w:t>
      </w:r>
      <w:r>
        <w:rPr>
          <w:rFonts w:hint="eastAsia" w:cs="Times New Roman" w:asciiTheme="minorEastAsia" w:hAnsiTheme="minorEastAsia" w:eastAsiaTheme="minorEastAsia"/>
          <w:color w:val="000000" w:themeColor="text1"/>
          <w:sz w:val="24"/>
          <w:szCs w:val="24"/>
          <w14:textFill>
            <w14:solidFill>
              <w14:schemeClr w14:val="tx1"/>
            </w14:solidFill>
          </w14:textFill>
        </w:rPr>
        <w:t>.1双方当事人协商一致，可以签订书面补充合同的形式变更合同，但不得违背采购文件确定的事项；</w:t>
      </w:r>
    </w:p>
    <w:p w14:paraId="28BF19D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9</w:t>
      </w:r>
      <w:r>
        <w:rPr>
          <w:rFonts w:hint="eastAsia" w:cs="Times New Roman" w:asciiTheme="minorEastAsia" w:hAnsiTheme="minorEastAsia" w:eastAsiaTheme="minorEastAsia"/>
          <w:color w:val="000000" w:themeColor="text1"/>
          <w:sz w:val="24"/>
          <w:szCs w:val="24"/>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41" w:name="_Toc487900369"/>
      <w:bookmarkStart w:id="142" w:name="_Toc279701259"/>
      <w:bookmarkStart w:id="143" w:name="_Toc259093688"/>
    </w:p>
    <w:p w14:paraId="4790D039">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44" w:name="_Toc22955"/>
      <w:bookmarkStart w:id="145" w:name="_Toc15237"/>
      <w:bookmarkStart w:id="146" w:name="_Toc1036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0</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合同转让</w:t>
      </w:r>
      <w:bookmarkEnd w:id="141"/>
      <w:bookmarkEnd w:id="142"/>
      <w:bookmarkEnd w:id="143"/>
      <w:r>
        <w:rPr>
          <w:rFonts w:cs="Times New Roman" w:asciiTheme="minorEastAsia" w:hAnsiTheme="minorEastAsia" w:eastAsiaTheme="minorEastAsia"/>
          <w:b/>
          <w:bCs/>
          <w:color w:val="000000" w:themeColor="text1"/>
          <w:sz w:val="24"/>
          <w:szCs w:val="24"/>
          <w:lang w:val="zh-CN"/>
          <w14:textFill>
            <w14:solidFill>
              <w14:schemeClr w14:val="tx1"/>
            </w14:solidFill>
          </w14:textFill>
        </w:rPr>
        <w:t>和分包</w:t>
      </w:r>
      <w:bookmarkEnd w:id="144"/>
      <w:bookmarkEnd w:id="145"/>
      <w:bookmarkEnd w:id="146"/>
    </w:p>
    <w:p w14:paraId="36BE147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合同的权利义务依法不</w:t>
      </w:r>
      <w:r>
        <w:rPr>
          <w:rFonts w:hint="eastAsia" w:cs="Times New Roman" w:asciiTheme="minorEastAsia" w:hAnsiTheme="minorEastAsia" w:eastAsiaTheme="minorEastAsia"/>
          <w:color w:val="000000" w:themeColor="text1"/>
          <w:sz w:val="24"/>
          <w:szCs w:val="24"/>
          <w14:textFill>
            <w14:solidFill>
              <w14:schemeClr w14:val="tx1"/>
            </w14:solidFill>
          </w14:textFill>
        </w:rPr>
        <w:t>得</w:t>
      </w:r>
      <w:r>
        <w:rPr>
          <w:rFonts w:cs="Times New Roman" w:asciiTheme="minorEastAsia" w:hAnsiTheme="minorEastAsia" w:eastAsiaTheme="minorEastAsia"/>
          <w:color w:val="000000" w:themeColor="text1"/>
          <w:sz w:val="24"/>
          <w:szCs w:val="24"/>
          <w14:textFill>
            <w14:solidFill>
              <w14:schemeClr w14:val="tx1"/>
            </w14:solidFill>
          </w14:textFill>
        </w:rPr>
        <w:t>转让</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但经甲方</w:t>
      </w:r>
      <w:r>
        <w:rPr>
          <w:rFonts w:hint="eastAsia" w:cs="Times New Roman" w:asciiTheme="minorEastAsia" w:hAnsiTheme="minorEastAsia" w:eastAsiaTheme="minorEastAsia"/>
          <w:color w:val="000000" w:themeColor="text1"/>
          <w:sz w:val="24"/>
          <w:szCs w:val="24"/>
          <w14:textFill>
            <w14:solidFill>
              <w14:schemeClr w14:val="tx1"/>
            </w14:solidFill>
          </w14:textFill>
        </w:rPr>
        <w:t>同意，乙方可以依法采取分包方式履行合同，即：依法可以</w:t>
      </w:r>
      <w:r>
        <w:rPr>
          <w:rFonts w:cs="Times New Roman" w:asciiTheme="minorEastAsia" w:hAnsiTheme="minorEastAsia" w:eastAsiaTheme="minorEastAsia"/>
          <w:color w:val="000000" w:themeColor="text1"/>
          <w:sz w:val="24"/>
          <w:szCs w:val="24"/>
          <w14:textFill>
            <w14:solidFill>
              <w14:schemeClr w14:val="tx1"/>
            </w14:solidFill>
          </w14:textFill>
        </w:rPr>
        <w:t>将合同项下的部分非主体、非关键性工作分包给他人完成</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接受分包的人应当具备相应的资格条件，并不得再次分包</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且乙方应就分包项目向甲方负责</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并</w:t>
      </w:r>
      <w:r>
        <w:rPr>
          <w:rFonts w:hint="eastAsia" w:cs="Times New Roman" w:asciiTheme="minorEastAsia" w:hAnsiTheme="minorEastAsia" w:eastAsiaTheme="minorEastAsia"/>
          <w:color w:val="000000" w:themeColor="text1"/>
          <w:sz w:val="24"/>
          <w:szCs w:val="24"/>
          <w14:textFill>
            <w14:solidFill>
              <w14:schemeClr w14:val="tx1"/>
            </w14:solidFill>
          </w14:textFill>
        </w:rPr>
        <w:t>与分包供应商就分包项目向甲方承担连带责任。</w:t>
      </w:r>
    </w:p>
    <w:p w14:paraId="345374A3">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47" w:name="_Toc16508"/>
      <w:bookmarkStart w:id="148" w:name="_Toc14066"/>
      <w:bookmarkStart w:id="149" w:name="_Toc1356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 不可抗力</w:t>
      </w:r>
      <w:bookmarkEnd w:id="147"/>
      <w:bookmarkEnd w:id="148"/>
      <w:bookmarkEnd w:id="149"/>
    </w:p>
    <w:p w14:paraId="2FB94F9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0F3BF3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.2因不可抗力致使不能实现合同目的的，当事人可以解除合同；</w:t>
      </w:r>
    </w:p>
    <w:p w14:paraId="38EC23E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.3因</w:t>
      </w:r>
      <w:r>
        <w:rPr>
          <w:rFonts w:cs="Times New Roman" w:asciiTheme="minorEastAsia" w:hAnsiTheme="minorEastAsia" w:eastAsiaTheme="minorEastAsia"/>
          <w:color w:val="000000" w:themeColor="text1"/>
          <w:sz w:val="24"/>
          <w:szCs w:val="24"/>
          <w14:textFill>
            <w14:solidFill>
              <w14:schemeClr w14:val="tx1"/>
            </w14:solidFill>
          </w14:textFill>
        </w:rPr>
        <w:t>不可抗力致使合同有变更必要的，双方当事人应在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约定时间内以书面形式变更合同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2EEBCB3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4</w:t>
      </w:r>
      <w:r>
        <w:rPr>
          <w:rFonts w:cs="Times New Roman" w:asciiTheme="minorEastAsia" w:hAnsiTheme="minorEastAsia" w:eastAsiaTheme="minorEastAsia"/>
          <w:color w:val="000000" w:themeColor="text1"/>
          <w:sz w:val="24"/>
          <w:szCs w:val="24"/>
          <w14:textFill>
            <w14:solidFill>
              <w14:schemeClr w14:val="tx1"/>
            </w14:solidFill>
          </w14:textFill>
        </w:rPr>
        <w:t>受</w:t>
      </w:r>
      <w:r>
        <w:rPr>
          <w:rFonts w:hint="eastAsia" w:cs="Times New Roman" w:asciiTheme="minorEastAsia" w:hAnsiTheme="minorEastAsia" w:eastAsiaTheme="minorEastAsia"/>
          <w:color w:val="000000" w:themeColor="text1"/>
          <w:sz w:val="24"/>
          <w:szCs w:val="24"/>
          <w14:textFill>
            <w14:solidFill>
              <w14:schemeClr w14:val="tx1"/>
            </w14:solidFill>
          </w14:textFill>
        </w:rPr>
        <w:t>不可抗力</w:t>
      </w:r>
      <w:r>
        <w:rPr>
          <w:rFonts w:cs="Times New Roman" w:asciiTheme="minorEastAsia" w:hAnsiTheme="minorEastAsia" w:eastAsiaTheme="minorEastAsia"/>
          <w:color w:val="000000" w:themeColor="text1"/>
          <w:sz w:val="24"/>
          <w:szCs w:val="24"/>
          <w14:textFill>
            <w14:solidFill>
              <w14:schemeClr w14:val="tx1"/>
            </w14:solidFill>
          </w14:textFill>
        </w:rPr>
        <w:t>影响的一方在不可抗力发生后</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应在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约定时间内以书面形式通知</w:t>
      </w:r>
      <w:r>
        <w:rPr>
          <w:rFonts w:hint="eastAsia" w:cs="Times New Roman" w:asciiTheme="minorEastAsia" w:hAnsiTheme="minorEastAsia" w:eastAsiaTheme="minorEastAsia"/>
          <w:color w:val="000000" w:themeColor="text1"/>
          <w:sz w:val="24"/>
          <w:szCs w:val="24"/>
          <w14:textFill>
            <w14:solidFill>
              <w14:schemeClr w14:val="tx1"/>
            </w14:solidFill>
          </w14:textFill>
        </w:rPr>
        <w:t>对</w:t>
      </w:r>
      <w:r>
        <w:rPr>
          <w:rFonts w:cs="Times New Roman" w:asciiTheme="minorEastAsia" w:hAnsiTheme="minorEastAsia" w:eastAsiaTheme="minorEastAsia"/>
          <w:color w:val="000000" w:themeColor="text1"/>
          <w:sz w:val="24"/>
          <w:szCs w:val="24"/>
          <w14:textFill>
            <w14:solidFill>
              <w14:schemeClr w14:val="tx1"/>
            </w14:solidFill>
          </w14:textFill>
        </w:rPr>
        <w:t>方当事人，并在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约定时间内，将有关部门出具的证明文件送达</w:t>
      </w:r>
      <w:r>
        <w:rPr>
          <w:rFonts w:hint="eastAsia" w:cs="Times New Roman" w:asciiTheme="minorEastAsia" w:hAnsiTheme="minorEastAsia" w:eastAsiaTheme="minorEastAsia"/>
          <w:color w:val="000000" w:themeColor="text1"/>
          <w:sz w:val="24"/>
          <w:szCs w:val="24"/>
          <w14:textFill>
            <w14:solidFill>
              <w14:schemeClr w14:val="tx1"/>
            </w14:solidFill>
          </w14:textFill>
        </w:rPr>
        <w:t>对方当事人</w:t>
      </w:r>
      <w:r>
        <w:rPr>
          <w:rFonts w:cs="Times New Roman" w:asciiTheme="minorEastAsia" w:hAnsiTheme="minorEastAsia" w:eastAsiaTheme="minorEastAsia"/>
          <w:color w:val="000000" w:themeColor="text1"/>
          <w:sz w:val="24"/>
          <w:szCs w:val="24"/>
          <w14:textFill>
            <w14:solidFill>
              <w14:schemeClr w14:val="tx1"/>
            </w14:solidFill>
          </w14:textFill>
        </w:rPr>
        <w:t>。</w:t>
      </w:r>
    </w:p>
    <w:p w14:paraId="3B656CDE">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50" w:name="_Toc487900365"/>
      <w:bookmarkStart w:id="151" w:name="_Toc30676"/>
      <w:bookmarkStart w:id="152" w:name="_Toc689"/>
      <w:bookmarkStart w:id="153" w:name="_Toc6969"/>
      <w:bookmarkStart w:id="154" w:name="_Toc279701255"/>
      <w:bookmarkStart w:id="155" w:name="_Toc25909368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12</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税费</w:t>
      </w:r>
      <w:bookmarkEnd w:id="150"/>
      <w:bookmarkEnd w:id="151"/>
      <w:bookmarkEnd w:id="152"/>
      <w:bookmarkEnd w:id="153"/>
      <w:bookmarkEnd w:id="154"/>
      <w:bookmarkEnd w:id="155"/>
    </w:p>
    <w:p w14:paraId="4A7FCF8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与合同有关的一切税费</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均按照中华人民共和国法律的相关规定</w:t>
      </w:r>
      <w:r>
        <w:rPr>
          <w:rFonts w:hint="eastAsia" w:cs="Times New Roman" w:asciiTheme="minorEastAsia" w:hAnsiTheme="minorEastAsia" w:eastAsiaTheme="minorEastAsia"/>
          <w:color w:val="000000" w:themeColor="text1"/>
          <w:sz w:val="24"/>
          <w:szCs w:val="24"/>
          <w14:textFill>
            <w14:solidFill>
              <w14:schemeClr w14:val="tx1"/>
            </w14:solidFill>
          </w14:textFill>
        </w:rPr>
        <w:t>缴纳</w:t>
      </w:r>
      <w:r>
        <w:rPr>
          <w:rFonts w:cs="Times New Roman" w:asciiTheme="minorEastAsia" w:hAnsiTheme="minorEastAsia" w:eastAsiaTheme="minorEastAsia"/>
          <w:color w:val="000000" w:themeColor="text1"/>
          <w:sz w:val="24"/>
          <w:szCs w:val="24"/>
          <w14:textFill>
            <w14:solidFill>
              <w14:schemeClr w14:val="tx1"/>
            </w14:solidFill>
          </w14:textFill>
        </w:rPr>
        <w:t>。</w:t>
      </w:r>
    </w:p>
    <w:p w14:paraId="6677845F">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56" w:name="_Toc259093687"/>
      <w:bookmarkStart w:id="157" w:name="_Toc16959"/>
      <w:bookmarkStart w:id="158" w:name="_Toc7102"/>
      <w:bookmarkStart w:id="159" w:name="_Toc8298"/>
      <w:bookmarkStart w:id="160" w:name="_Toc279701258"/>
      <w:bookmarkStart w:id="161" w:name="_Toc487900368"/>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13</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乙方破产</w:t>
      </w:r>
      <w:bookmarkEnd w:id="156"/>
      <w:bookmarkEnd w:id="157"/>
      <w:bookmarkEnd w:id="158"/>
      <w:bookmarkEnd w:id="159"/>
      <w:bookmarkEnd w:id="160"/>
      <w:bookmarkEnd w:id="161"/>
    </w:p>
    <w:p w14:paraId="7610A25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000000" w:themeColor="text1"/>
          <w:sz w:val="24"/>
          <w:szCs w:val="24"/>
          <w14:textFill>
            <w14:solidFill>
              <w14:schemeClr w14:val="tx1"/>
            </w14:solidFill>
          </w14:textFill>
        </w:rPr>
        <w:t>，但合同的</w:t>
      </w:r>
      <w:r>
        <w:rPr>
          <w:rFonts w:cs="Times New Roman" w:asciiTheme="minorEastAsia" w:hAnsiTheme="minorEastAsia" w:eastAsiaTheme="minorEastAsia"/>
          <w:color w:val="000000" w:themeColor="text1"/>
          <w:sz w:val="24"/>
          <w:szCs w:val="24"/>
          <w14:textFill>
            <w14:solidFill>
              <w14:schemeClr w14:val="tx1"/>
            </w14:solidFill>
          </w14:textFill>
        </w:rPr>
        <w:t>终止不损害或不影响甲方已经采取或将要采取的任何要求乙方支付违约金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赔偿损失等的行动或补救措施的权利</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3325B0C">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62" w:name="_Toc6134"/>
      <w:bookmarkStart w:id="163" w:name="_Toc15387"/>
      <w:bookmarkStart w:id="164" w:name="_Toc29333"/>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4</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合同中止、终止</w:t>
      </w:r>
      <w:bookmarkEnd w:id="162"/>
      <w:bookmarkEnd w:id="163"/>
      <w:bookmarkEnd w:id="164"/>
    </w:p>
    <w:p w14:paraId="687D60B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.1双方当事人不得擅自中止或者终止合同；</w:t>
      </w:r>
    </w:p>
    <w:p w14:paraId="0BAB915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3C732AF6">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65" w:name="_Toc6596"/>
      <w:bookmarkStart w:id="166" w:name="_Toc14563"/>
      <w:bookmarkStart w:id="167" w:name="_Toc112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检验和验收</w:t>
      </w:r>
      <w:bookmarkEnd w:id="165"/>
      <w:bookmarkEnd w:id="166"/>
      <w:bookmarkEnd w:id="167"/>
    </w:p>
    <w:p w14:paraId="67A4AA3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5</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1乙方按照</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的约定</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定期提交服务报告</w:t>
      </w:r>
      <w:r>
        <w:rPr>
          <w:rFonts w:hint="eastAsia" w:cs="Times New Roman" w:asciiTheme="minorEastAsia" w:hAnsiTheme="minorEastAsia" w:eastAsiaTheme="minorEastAsia"/>
          <w:color w:val="000000" w:themeColor="text1"/>
          <w:sz w:val="24"/>
          <w:szCs w:val="24"/>
          <w14:textFill>
            <w14:solidFill>
              <w14:schemeClr w14:val="tx1"/>
            </w14:solidFill>
          </w14:textFill>
        </w:rPr>
        <w:t>，甲方按照</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的约定进行定期验收</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BD17B4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B98416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2.15.3检验和验收标准、程序等具体内容以及前述验收书的效力详见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hint="eastAsia" w:cs="Times New Roman" w:asciiTheme="minorEastAsia" w:hAnsiTheme="minorEastAsia" w:eastAsiaTheme="minorEastAsia"/>
          <w:i/>
          <w:color w:val="000000" w:themeColor="text1"/>
          <w:sz w:val="24"/>
          <w:szCs w:val="24"/>
          <w14:textFill>
            <w14:solidFill>
              <w14:schemeClr w14:val="tx1"/>
            </w14:solidFill>
          </w14:textFill>
        </w:rPr>
        <w:t>。</w:t>
      </w:r>
    </w:p>
    <w:bookmarkEnd w:id="137"/>
    <w:bookmarkEnd w:id="138"/>
    <w:bookmarkEnd w:id="139"/>
    <w:bookmarkEnd w:id="140"/>
    <w:p w14:paraId="440BE3AB">
      <w:pPr>
        <w:spacing w:line="360" w:lineRule="auto"/>
        <w:ind w:firstLine="437"/>
        <w:outlineLvl w:val="2"/>
        <w:rPr>
          <w:rFonts w:cs="Times New Roman" w:asciiTheme="minorEastAsia" w:hAnsiTheme="minorEastAsia" w:eastAsiaTheme="minorEastAsia"/>
          <w:b/>
          <w:bCs/>
          <w:color w:val="000000" w:themeColor="text1"/>
          <w:sz w:val="24"/>
          <w:szCs w:val="24"/>
          <w14:textFill>
            <w14:solidFill>
              <w14:schemeClr w14:val="tx1"/>
            </w14:solidFill>
          </w14:textFill>
        </w:rPr>
      </w:pPr>
      <w:bookmarkStart w:id="168" w:name="_Toc259093692"/>
      <w:bookmarkStart w:id="169" w:name="_Toc487900373"/>
      <w:bookmarkStart w:id="170" w:name="_Toc10330"/>
      <w:bookmarkStart w:id="171" w:name="_Toc279701263"/>
      <w:bookmarkStart w:id="172" w:name="_Toc12773"/>
      <w:bookmarkStart w:id="173" w:name="_Toc18567"/>
      <w:r>
        <w:rPr>
          <w:rFonts w:hint="eastAsia" w:cs="Times New Roman" w:asciiTheme="minorEastAsia" w:hAnsiTheme="minorEastAsia" w:eastAsiaTheme="minorEastAsia"/>
          <w:b/>
          <w:bCs/>
          <w:color w:val="000000" w:themeColor="text1"/>
          <w:sz w:val="24"/>
          <w:szCs w:val="24"/>
          <w14:textFill>
            <w14:solidFill>
              <w14:schemeClr w14:val="tx1"/>
            </w14:solidFill>
          </w14:textFill>
        </w:rPr>
        <w:t>2.</w:t>
      </w:r>
      <w:r>
        <w:rPr>
          <w:rFonts w:cs="Times New Roman" w:asciiTheme="minorEastAsia" w:hAnsiTheme="minorEastAsia" w:eastAsiaTheme="minorEastAsia"/>
          <w:b/>
          <w:bCs/>
          <w:color w:val="000000" w:themeColor="text1"/>
          <w:sz w:val="24"/>
          <w:szCs w:val="24"/>
          <w14:textFill>
            <w14:solidFill>
              <w14:schemeClr w14:val="tx1"/>
            </w14:solidFill>
          </w14:textFill>
        </w:rPr>
        <w:t>16</w:t>
      </w:r>
      <w:r>
        <w:rPr>
          <w:rFonts w:hint="eastAsia" w:cs="Times New Roman"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合同使用的文字和</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适用的法律</w:t>
      </w:r>
      <w:bookmarkEnd w:id="168"/>
      <w:bookmarkEnd w:id="169"/>
      <w:bookmarkEnd w:id="170"/>
      <w:bookmarkEnd w:id="171"/>
      <w:bookmarkEnd w:id="172"/>
      <w:bookmarkEnd w:id="173"/>
    </w:p>
    <w:p w14:paraId="63E5F22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16.1合同使用汉语书就</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变更和解释</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32503D5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16</w:t>
      </w:r>
      <w:r>
        <w:rPr>
          <w:rFonts w:hint="eastAsia" w:cs="Times New Roman" w:asciiTheme="minorEastAsia" w:hAnsiTheme="minorEastAsia" w:eastAsiaTheme="minorEastAsia"/>
          <w:color w:val="000000" w:themeColor="text1"/>
          <w:sz w:val="24"/>
          <w:szCs w:val="24"/>
          <w14:textFill>
            <w14:solidFill>
              <w14:schemeClr w14:val="tx1"/>
            </w14:solidFill>
          </w14:textFill>
        </w:rPr>
        <w:t>.2合同适用</w:t>
      </w:r>
      <w:r>
        <w:rPr>
          <w:rFonts w:cs="Times New Roman" w:asciiTheme="minorEastAsia" w:hAnsiTheme="minorEastAsia" w:eastAsiaTheme="minorEastAsia"/>
          <w:color w:val="000000" w:themeColor="text1"/>
          <w:sz w:val="24"/>
          <w:szCs w:val="24"/>
          <w14:textFill>
            <w14:solidFill>
              <w14:schemeClr w14:val="tx1"/>
            </w14:solidFill>
          </w14:textFill>
        </w:rPr>
        <w:t>中华人民共和国法律。</w:t>
      </w:r>
    </w:p>
    <w:p w14:paraId="61F38DBC">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74" w:name="_Toc259093693"/>
      <w:bookmarkStart w:id="175" w:name="_Toc279701264"/>
      <w:bookmarkStart w:id="176" w:name="_Toc16673"/>
      <w:bookmarkStart w:id="177" w:name="_Toc12004"/>
      <w:bookmarkStart w:id="178" w:name="_Toc3148"/>
      <w:bookmarkStart w:id="179" w:name="_Toc48790037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17</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履约保证金</w:t>
      </w:r>
      <w:bookmarkEnd w:id="174"/>
      <w:bookmarkEnd w:id="175"/>
      <w:bookmarkEnd w:id="176"/>
      <w:bookmarkEnd w:id="177"/>
      <w:bookmarkEnd w:id="178"/>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w:t>
      </w:r>
      <w:r>
        <w:rPr>
          <w:rFonts w:hint="eastAsia" w:cs="Times New Roman" w:asciiTheme="minorEastAsia" w:hAnsiTheme="minorEastAsia" w:eastAsiaTheme="minorEastAsia"/>
          <w:b/>
          <w:bCs/>
          <w:color w:val="000000" w:themeColor="text1"/>
          <w:sz w:val="24"/>
          <w:szCs w:val="24"/>
          <w:lang w:val="en-US" w:eastAsia="zh-CN"/>
          <w14:textFill>
            <w14:solidFill>
              <w14:schemeClr w14:val="tx1"/>
            </w14:solidFill>
          </w14:textFill>
        </w:rPr>
        <w:t>不采用</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w:t>
      </w:r>
    </w:p>
    <w:p w14:paraId="69B99F0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17</w:t>
      </w:r>
      <w:r>
        <w:rPr>
          <w:rFonts w:hint="eastAsia" w:cs="Times New Roman" w:asciiTheme="minorEastAsia" w:hAnsiTheme="minorEastAsia" w:eastAsiaTheme="minorEastAsia"/>
          <w:color w:val="000000" w:themeColor="text1"/>
          <w:sz w:val="24"/>
          <w:szCs w:val="24"/>
          <w14:textFill>
            <w14:solidFill>
              <w14:schemeClr w14:val="tx1"/>
            </w14:solidFill>
          </w14:textFill>
        </w:rPr>
        <w:t>.1采购文件要求乙方提交履约保证金的，乙方</w:t>
      </w:r>
      <w:r>
        <w:rPr>
          <w:rFonts w:cs="Times New Roman" w:asciiTheme="minorEastAsia" w:hAnsiTheme="minorEastAsia" w:eastAsiaTheme="minorEastAsia"/>
          <w:color w:val="000000" w:themeColor="text1"/>
          <w:sz w:val="24"/>
          <w:szCs w:val="24"/>
          <w14:textFill>
            <w14:solidFill>
              <w14:schemeClr w14:val="tx1"/>
            </w14:solidFill>
          </w14:textFill>
        </w:rPr>
        <w:t>应按</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约定的方式</w:t>
      </w:r>
      <w:r>
        <w:rPr>
          <w:rFonts w:hint="eastAsia" w:cs="Times New Roman" w:asciiTheme="minorEastAsia" w:hAnsiTheme="minorEastAsia" w:eastAsiaTheme="minorEastAsia"/>
          <w:color w:val="000000" w:themeColor="text1"/>
          <w:sz w:val="24"/>
          <w:szCs w:val="24"/>
          <w14:textFill>
            <w14:solidFill>
              <w14:schemeClr w14:val="tx1"/>
            </w14:solidFill>
          </w14:textFill>
        </w:rPr>
        <w:t>，以支票、汇票、本票或者金融机构、担保机构出具的保函等非现金形式提交；</w:t>
      </w:r>
    </w:p>
    <w:p w14:paraId="65746099">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17.2履约保证金在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约定期间内不予退还或者应完全有效</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，前述约定期间届满</w:t>
      </w:r>
      <w:r>
        <w:rPr>
          <w:rFonts w:cs="Times New Roman" w:asciiTheme="minorEastAsia" w:hAnsiTheme="minorEastAsia" w:eastAsiaTheme="minorEastAsia"/>
          <w:color w:val="000000" w:themeColor="text1"/>
          <w:sz w:val="24"/>
          <w:szCs w:val="24"/>
          <w:highlight w:val="none"/>
          <w14:textFill>
            <w14:solidFill>
              <w14:schemeClr w14:val="tx1"/>
            </w14:solidFill>
          </w14:textFill>
        </w:rPr>
        <w:t>之日起</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w:t>
      </w:r>
      <w:r>
        <w:rPr>
          <w:rFonts w:cs="Times New Roman" w:asciiTheme="minorEastAsia" w:hAnsiTheme="minorEastAsia" w:eastAsiaTheme="minorEastAsia"/>
          <w:color w:val="000000" w:themeColor="text1"/>
          <w:sz w:val="24"/>
          <w:szCs w:val="24"/>
          <w:highlight w:val="none"/>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应承担违约责任。</w:t>
      </w:r>
    </w:p>
    <w:p w14:paraId="31618AF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如果乙方不履行合同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，履约保证金不予退还；如果乙方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未能按合同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约</w:t>
      </w:r>
      <w:r>
        <w:rPr>
          <w:rFonts w:cs="Times New Roman" w:asciiTheme="minorEastAsia" w:hAnsiTheme="minorEastAsia" w:eastAsiaTheme="minorEastAsia"/>
          <w:color w:val="000000" w:themeColor="text1"/>
          <w:sz w:val="24"/>
          <w:szCs w:val="24"/>
          <w:highlight w:val="none"/>
          <w14:textFill>
            <w14:solidFill>
              <w14:schemeClr w14:val="tx1"/>
            </w14:solidFill>
          </w14:textFill>
        </w:rPr>
        <w:t>定全面履行义务，那么甲方有权从履约保证金中取得补偿</w:t>
      </w:r>
      <w:r>
        <w:rPr>
          <w:rFonts w:cs="Times New Roman" w:asciiTheme="minorEastAsia" w:hAnsiTheme="minorEastAsia" w:eastAsiaTheme="minorEastAsia"/>
          <w:color w:val="000000" w:themeColor="text1"/>
          <w:sz w:val="24"/>
          <w:szCs w:val="24"/>
          <w14:textFill>
            <w14:solidFill>
              <w14:schemeClr w14:val="tx1"/>
            </w14:solidFill>
          </w14:textFill>
        </w:rPr>
        <w:t>或赔偿</w:t>
      </w:r>
      <w:r>
        <w:rPr>
          <w:rFonts w:hint="eastAsia" w:cs="Times New Roman" w:asciiTheme="minorEastAsia" w:hAnsiTheme="minorEastAsia" w:eastAsiaTheme="minorEastAsia"/>
          <w:color w:val="000000" w:themeColor="text1"/>
          <w:sz w:val="24"/>
          <w:szCs w:val="24"/>
          <w14:textFill>
            <w14:solidFill>
              <w14:schemeClr w14:val="tx1"/>
            </w14:solidFill>
          </w14:textFill>
        </w:rPr>
        <w:t>，同时不影响甲方要求乙方承担合同约定的超过履约保证金的违约责任的权利。</w:t>
      </w:r>
    </w:p>
    <w:bookmarkEnd w:id="179"/>
    <w:p w14:paraId="587DE613">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80" w:name="_Toc14001"/>
      <w:bookmarkStart w:id="181" w:name="_Toc6885"/>
      <w:bookmarkStart w:id="182" w:name="_Toc19890"/>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18</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合同份数</w:t>
      </w:r>
      <w:bookmarkEnd w:id="180"/>
      <w:bookmarkEnd w:id="181"/>
      <w:bookmarkEnd w:id="182"/>
    </w:p>
    <w:p w14:paraId="0C1FC0D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合同份数按</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规定</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每份均具有同等法律效力</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4612C18">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br w:type="page"/>
      </w:r>
      <w:bookmarkStart w:id="183" w:name="_Toc3736"/>
      <w:r>
        <w:rPr>
          <w:rFonts w:hint="eastAsia" w:asciiTheme="minorEastAsia" w:hAnsiTheme="minorEastAsia" w:eastAsiaTheme="minorEastAsia"/>
          <w:b/>
          <w:color w:val="000000" w:themeColor="text1"/>
          <w:sz w:val="24"/>
          <w14:textFill>
            <w14:solidFill>
              <w14:schemeClr w14:val="tx1"/>
            </w14:solidFill>
          </w14:textFill>
        </w:rPr>
        <w:t>第三部分</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合同专用条款</w:t>
      </w:r>
      <w:bookmarkEnd w:id="183"/>
    </w:p>
    <w:p w14:paraId="7BC06AE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本部分</w:t>
      </w:r>
      <w:r>
        <w:rPr>
          <w:rFonts w:cs="Times New Roman" w:asciiTheme="minorEastAsia" w:hAnsiTheme="minorEastAsia" w:eastAsiaTheme="minorEastAsia"/>
          <w:color w:val="000000" w:themeColor="text1"/>
          <w:sz w:val="24"/>
          <w:szCs w:val="24"/>
          <w14:textFill>
            <w14:solidFill>
              <w14:schemeClr w14:val="tx1"/>
            </w14:solidFill>
          </w14:textFill>
        </w:rPr>
        <w:t>是对</w:t>
      </w:r>
      <w:r>
        <w:rPr>
          <w:rFonts w:hint="eastAsia" w:cs="Times New Roman" w:asciiTheme="minorEastAsia" w:hAnsiTheme="minorEastAsia" w:eastAsiaTheme="minorEastAsia"/>
          <w:color w:val="000000" w:themeColor="text1"/>
          <w:sz w:val="24"/>
          <w:szCs w:val="24"/>
          <w14:textFill>
            <w14:solidFill>
              <w14:schemeClr w14:val="tx1"/>
            </w14:solidFill>
          </w14:textFill>
        </w:rPr>
        <w:t>前两</w:t>
      </w:r>
      <w:r>
        <w:rPr>
          <w:rFonts w:cs="Times New Roman" w:asciiTheme="minorEastAsia" w:hAnsiTheme="minorEastAsia" w:eastAsiaTheme="minorEastAsia"/>
          <w:color w:val="000000" w:themeColor="text1"/>
          <w:sz w:val="24"/>
          <w:szCs w:val="24"/>
          <w14:textFill>
            <w14:solidFill>
              <w14:schemeClr w14:val="tx1"/>
            </w14:solidFill>
          </w14:textFill>
        </w:rPr>
        <w:t>部分的补充和修改</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w:t>
      </w:r>
      <w:r>
        <w:rPr>
          <w:rFonts w:hint="eastAsia" w:cs="Times New Roman" w:asciiTheme="minorEastAsia" w:hAnsiTheme="minorEastAsia" w:eastAsiaTheme="minorEastAsia"/>
          <w:color w:val="000000" w:themeColor="text1"/>
          <w:sz w:val="24"/>
          <w:szCs w:val="24"/>
          <w14:textFill>
            <w14:solidFill>
              <w14:schemeClr w14:val="tx1"/>
            </w14:solidFill>
          </w14:textFill>
        </w:rPr>
        <w:t>前两</w:t>
      </w:r>
      <w:r>
        <w:rPr>
          <w:rFonts w:cs="Times New Roman" w:asciiTheme="minorEastAsia" w:hAnsiTheme="minorEastAsia" w:eastAsiaTheme="minorEastAsia"/>
          <w:color w:val="000000" w:themeColor="text1"/>
          <w:sz w:val="24"/>
          <w:szCs w:val="24"/>
          <w14:textFill>
            <w14:solidFill>
              <w14:schemeClr w14:val="tx1"/>
            </w14:solidFill>
          </w14:textFill>
        </w:rPr>
        <w:t>部分和本部分的约定不一致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应以本部分的约定为准</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本部分的条款号应与</w:t>
      </w:r>
      <w:r>
        <w:rPr>
          <w:rFonts w:hint="eastAsia" w:cs="Times New Roman" w:asciiTheme="minorEastAsia" w:hAnsiTheme="minorEastAsia" w:eastAsiaTheme="minorEastAsia"/>
          <w:color w:val="000000" w:themeColor="text1"/>
          <w:sz w:val="24"/>
          <w:szCs w:val="24"/>
          <w14:textFill>
            <w14:solidFill>
              <w14:schemeClr w14:val="tx1"/>
            </w14:solidFill>
          </w14:textFill>
        </w:rPr>
        <w:t>前两部分</w:t>
      </w:r>
      <w:r>
        <w:rPr>
          <w:rFonts w:cs="Times New Roman" w:asciiTheme="minorEastAsia" w:hAnsiTheme="minorEastAsia" w:eastAsiaTheme="minorEastAsia"/>
          <w:color w:val="000000" w:themeColor="text1"/>
          <w:sz w:val="24"/>
          <w:szCs w:val="24"/>
          <w14:textFill>
            <w14:solidFill>
              <w14:schemeClr w14:val="tx1"/>
            </w14:solidFill>
          </w14:textFill>
        </w:rPr>
        <w:t>的条款号保持对应</w:t>
      </w:r>
      <w:r>
        <w:rPr>
          <w:rFonts w:hint="eastAsia" w:cs="Times New Roman" w:asciiTheme="minorEastAsia" w:hAnsiTheme="minorEastAsia" w:eastAsiaTheme="minorEastAsia"/>
          <w:color w:val="000000" w:themeColor="text1"/>
          <w:sz w:val="24"/>
          <w:szCs w:val="24"/>
          <w14:textFill>
            <w14:solidFill>
              <w14:schemeClr w14:val="tx1"/>
            </w14:solidFill>
          </w14:textFill>
        </w:rPr>
        <w:t>；与前两部分</w:t>
      </w:r>
      <w:r>
        <w:rPr>
          <w:rFonts w:cs="Times New Roman" w:asciiTheme="minorEastAsia" w:hAnsiTheme="minorEastAsia" w:eastAsiaTheme="minorEastAsia"/>
          <w:color w:val="000000" w:themeColor="text1"/>
          <w:sz w:val="24"/>
          <w:szCs w:val="24"/>
          <w14:textFill>
            <w14:solidFill>
              <w14:schemeClr w14:val="tx1"/>
            </w14:solidFill>
          </w14:textFill>
        </w:rPr>
        <w:t>无对应关系的内容可另行编制条款号</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tbl>
      <w:tblPr>
        <w:tblStyle w:val="25"/>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12783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jc w:val="center"/>
        </w:trPr>
        <w:tc>
          <w:tcPr>
            <w:tcW w:w="794" w:type="dxa"/>
            <w:tcBorders>
              <w:left w:val="single" w:color="auto" w:sz="4" w:space="0"/>
            </w:tcBorders>
            <w:vAlign w:val="center"/>
          </w:tcPr>
          <w:p w14:paraId="3A23DB64">
            <w:pPr>
              <w:jc w:val="center"/>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t>条款号</w:t>
            </w:r>
          </w:p>
        </w:tc>
        <w:tc>
          <w:tcPr>
            <w:tcW w:w="7568" w:type="dxa"/>
            <w:vAlign w:val="center"/>
          </w:tcPr>
          <w:p w14:paraId="66C8F249">
            <w:pPr>
              <w:jc w:val="center"/>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t>约定内容</w:t>
            </w:r>
          </w:p>
        </w:tc>
      </w:tr>
      <w:tr w14:paraId="04633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214A43B">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16C893B0">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2DBB2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7026C65">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5A029562">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6D52D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1035E5E">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6327FEFA">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6A2E8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48C9DF4">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3E725618">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3669A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C6EE3EC">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6315CA4C">
            <w:pPr>
              <w:spacing w:line="560" w:lineRule="exact"/>
              <w:rPr>
                <w:rFonts w:cs="Times New Roman" w:asciiTheme="minorEastAsia" w:hAnsiTheme="minorEastAsia" w:eastAsiaTheme="minorEastAsia"/>
                <w:color w:val="000000" w:themeColor="text1"/>
                <w:sz w:val="24"/>
                <w:szCs w:val="24"/>
                <w:u w:val="single"/>
                <w14:textFill>
                  <w14:solidFill>
                    <w14:schemeClr w14:val="tx1"/>
                  </w14:solidFill>
                </w14:textFill>
              </w:rPr>
            </w:pPr>
          </w:p>
        </w:tc>
      </w:tr>
      <w:tr w14:paraId="48987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01E072A">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7AFA813B">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11D67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AD50A9B">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6DEB89B3">
            <w:pPr>
              <w:spacing w:line="560" w:lineRule="exact"/>
              <w:rPr>
                <w:rFonts w:cs="Times New Roman" w:asciiTheme="minorEastAsia" w:hAnsiTheme="minorEastAsia" w:eastAsiaTheme="minorEastAsia"/>
                <w:color w:val="000000" w:themeColor="text1"/>
                <w:sz w:val="24"/>
                <w:szCs w:val="24"/>
                <w:u w:val="single"/>
                <w14:textFill>
                  <w14:solidFill>
                    <w14:schemeClr w14:val="tx1"/>
                  </w14:solidFill>
                </w14:textFill>
              </w:rPr>
            </w:pPr>
          </w:p>
        </w:tc>
      </w:tr>
      <w:tr w14:paraId="7039F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AEA206F">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475684DF">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3395A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028CB6D">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0D81D748">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789B1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BB45185">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1E1550B3">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16DCA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31876F1E">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1998D44A">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3E708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13390346">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0D625EB3">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bl>
    <w:p w14:paraId="1AB3E33D">
      <w:pPr>
        <w:spacing w:line="360" w:lineRule="auto"/>
        <w:jc w:val="center"/>
        <w:outlineLvl w:val="0"/>
        <w:rPr>
          <w:rFonts w:hint="eastAsia" w:ascii="宋体" w:hAnsi="宋体" w:eastAsia="宋体" w:cs="宋体"/>
          <w:b/>
          <w:color w:val="auto"/>
          <w:sz w:val="28"/>
          <w:highlight w:val="none"/>
        </w:rPr>
      </w:pPr>
    </w:p>
    <w:p w14:paraId="35279C8D">
      <w:pPr>
        <w:spacing w:line="360" w:lineRule="auto"/>
        <w:jc w:val="center"/>
        <w:outlineLvl w:val="0"/>
        <w:rPr>
          <w:rFonts w:hint="eastAsia" w:ascii="宋体" w:hAnsi="宋体" w:eastAsia="宋体" w:cs="宋体"/>
          <w:b/>
          <w:color w:val="auto"/>
          <w:sz w:val="28"/>
          <w:highlight w:val="none"/>
        </w:rPr>
      </w:pPr>
    </w:p>
    <w:p w14:paraId="55E5DA8E">
      <w:pPr>
        <w:spacing w:line="360" w:lineRule="auto"/>
        <w:jc w:val="center"/>
        <w:outlineLvl w:val="0"/>
        <w:rPr>
          <w:rFonts w:hint="eastAsia" w:ascii="宋体" w:hAnsi="宋体" w:eastAsia="宋体" w:cs="宋体"/>
          <w:b/>
          <w:color w:val="auto"/>
          <w:sz w:val="28"/>
          <w:highlight w:val="none"/>
        </w:rPr>
      </w:pPr>
    </w:p>
    <w:p w14:paraId="1A8891E6">
      <w:pPr>
        <w:spacing w:line="360" w:lineRule="auto"/>
        <w:jc w:val="center"/>
        <w:outlineLvl w:val="0"/>
        <w:rPr>
          <w:rFonts w:hint="eastAsia" w:ascii="宋体" w:hAnsi="宋体" w:eastAsia="宋体" w:cs="宋体"/>
          <w:b/>
          <w:color w:val="auto"/>
          <w:sz w:val="28"/>
          <w:highlight w:val="none"/>
        </w:rPr>
      </w:pPr>
    </w:p>
    <w:p w14:paraId="61738DCC">
      <w:pPr>
        <w:spacing w:line="360" w:lineRule="auto"/>
        <w:jc w:val="center"/>
        <w:outlineLvl w:val="0"/>
        <w:rPr>
          <w:rFonts w:hint="eastAsia" w:ascii="宋体" w:hAnsi="宋体" w:eastAsia="宋体" w:cs="宋体"/>
          <w:b/>
          <w:color w:val="auto"/>
          <w:sz w:val="28"/>
          <w:highlight w:val="none"/>
        </w:rPr>
      </w:pPr>
    </w:p>
    <w:p w14:paraId="627CD398">
      <w:pPr>
        <w:spacing w:line="360" w:lineRule="auto"/>
        <w:jc w:val="center"/>
        <w:outlineLvl w:val="0"/>
        <w:rPr>
          <w:rFonts w:hint="eastAsia" w:ascii="宋体" w:hAnsi="宋体" w:eastAsia="宋体" w:cs="宋体"/>
          <w:b/>
          <w:color w:val="auto"/>
          <w:sz w:val="28"/>
          <w:highlight w:val="none"/>
        </w:rPr>
      </w:pPr>
    </w:p>
    <w:p w14:paraId="2585F957">
      <w:pPr>
        <w:spacing w:line="360" w:lineRule="auto"/>
        <w:jc w:val="center"/>
        <w:outlineLvl w:val="0"/>
        <w:rPr>
          <w:rFonts w:hint="eastAsia" w:ascii="宋体" w:hAnsi="宋体" w:eastAsia="宋体" w:cs="宋体"/>
          <w:b/>
          <w:color w:val="auto"/>
          <w:sz w:val="28"/>
          <w:highlight w:val="none"/>
        </w:rPr>
      </w:pPr>
    </w:p>
    <w:p w14:paraId="58D12B2C">
      <w:pPr>
        <w:spacing w:line="360" w:lineRule="auto"/>
        <w:jc w:val="center"/>
        <w:outlineLvl w:val="0"/>
        <w:rPr>
          <w:rFonts w:hint="eastAsia" w:ascii="宋体" w:hAnsi="宋体" w:eastAsia="宋体" w:cs="宋体"/>
          <w:b/>
          <w:color w:val="auto"/>
          <w:sz w:val="28"/>
          <w:highlight w:val="none"/>
        </w:rPr>
      </w:pPr>
    </w:p>
    <w:p w14:paraId="6705A43D">
      <w:p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第六章  投标文件格式</w:t>
      </w:r>
      <w:bookmarkEnd w:id="43"/>
    </w:p>
    <w:p w14:paraId="3CF3B915">
      <w:pPr>
        <w:spacing w:line="900" w:lineRule="exact"/>
        <w:jc w:val="center"/>
        <w:rPr>
          <w:rFonts w:hint="eastAsia" w:ascii="宋体" w:hAnsi="宋体" w:eastAsia="宋体" w:cs="宋体"/>
          <w:b/>
          <w:color w:val="auto"/>
          <w:sz w:val="72"/>
          <w:highlight w:val="none"/>
        </w:rPr>
      </w:pPr>
    </w:p>
    <w:p w14:paraId="5D4671F0">
      <w:pPr>
        <w:spacing w:line="900" w:lineRule="exact"/>
        <w:jc w:val="center"/>
        <w:outlineLvl w:val="1"/>
        <w:rPr>
          <w:rFonts w:hint="eastAsia" w:ascii="宋体" w:hAnsi="宋体" w:eastAsia="宋体" w:cs="宋体"/>
          <w:b/>
          <w:color w:val="auto"/>
          <w:sz w:val="72"/>
          <w:highlight w:val="none"/>
        </w:rPr>
      </w:pPr>
      <w:bookmarkStart w:id="184" w:name="_Toc5119"/>
      <w:r>
        <w:rPr>
          <w:rFonts w:hint="eastAsia" w:ascii="宋体" w:hAnsi="宋体" w:eastAsia="宋体" w:cs="宋体"/>
          <w:b/>
          <w:color w:val="auto"/>
          <w:sz w:val="72"/>
          <w:highlight w:val="none"/>
        </w:rPr>
        <w:t>投</w:t>
      </w:r>
      <w:bookmarkEnd w:id="184"/>
    </w:p>
    <w:p w14:paraId="635D6149">
      <w:pPr>
        <w:spacing w:line="900" w:lineRule="exact"/>
        <w:jc w:val="center"/>
        <w:rPr>
          <w:rFonts w:hint="eastAsia" w:ascii="宋体" w:hAnsi="宋体" w:eastAsia="宋体" w:cs="宋体"/>
          <w:b/>
          <w:color w:val="auto"/>
          <w:sz w:val="72"/>
          <w:highlight w:val="none"/>
        </w:rPr>
      </w:pPr>
    </w:p>
    <w:p w14:paraId="112B17B0">
      <w:pPr>
        <w:spacing w:line="900" w:lineRule="exact"/>
        <w:jc w:val="center"/>
        <w:outlineLvl w:val="1"/>
        <w:rPr>
          <w:rFonts w:hint="eastAsia" w:ascii="宋体" w:hAnsi="宋体" w:eastAsia="宋体" w:cs="宋体"/>
          <w:b/>
          <w:color w:val="auto"/>
          <w:sz w:val="72"/>
          <w:highlight w:val="none"/>
        </w:rPr>
      </w:pPr>
      <w:bookmarkStart w:id="185" w:name="_Toc4782"/>
      <w:r>
        <w:rPr>
          <w:rFonts w:hint="eastAsia" w:ascii="宋体" w:hAnsi="宋体" w:eastAsia="宋体" w:cs="宋体"/>
          <w:b/>
          <w:color w:val="auto"/>
          <w:sz w:val="72"/>
          <w:highlight w:val="none"/>
        </w:rPr>
        <w:t>标</w:t>
      </w:r>
      <w:bookmarkEnd w:id="185"/>
    </w:p>
    <w:p w14:paraId="79920DEF">
      <w:pPr>
        <w:spacing w:line="900" w:lineRule="exact"/>
        <w:jc w:val="center"/>
        <w:rPr>
          <w:rFonts w:hint="eastAsia" w:ascii="宋体" w:hAnsi="宋体" w:eastAsia="宋体" w:cs="宋体"/>
          <w:b/>
          <w:color w:val="auto"/>
          <w:sz w:val="72"/>
          <w:highlight w:val="none"/>
        </w:rPr>
      </w:pPr>
    </w:p>
    <w:p w14:paraId="73836EA7">
      <w:pPr>
        <w:spacing w:line="900" w:lineRule="exact"/>
        <w:jc w:val="center"/>
        <w:outlineLvl w:val="1"/>
        <w:rPr>
          <w:rFonts w:hint="eastAsia" w:ascii="宋体" w:hAnsi="宋体" w:eastAsia="宋体" w:cs="宋体"/>
          <w:b/>
          <w:color w:val="auto"/>
          <w:sz w:val="72"/>
          <w:highlight w:val="none"/>
        </w:rPr>
      </w:pPr>
      <w:bookmarkStart w:id="186" w:name="_Toc19607"/>
      <w:r>
        <w:rPr>
          <w:rFonts w:hint="eastAsia" w:ascii="宋体" w:hAnsi="宋体" w:eastAsia="宋体" w:cs="宋体"/>
          <w:b/>
          <w:color w:val="auto"/>
          <w:sz w:val="72"/>
          <w:highlight w:val="none"/>
        </w:rPr>
        <w:t>文</w:t>
      </w:r>
      <w:bookmarkEnd w:id="186"/>
    </w:p>
    <w:p w14:paraId="6E39AFDC">
      <w:pPr>
        <w:spacing w:line="900" w:lineRule="exact"/>
        <w:jc w:val="center"/>
        <w:rPr>
          <w:rFonts w:hint="eastAsia" w:ascii="宋体" w:hAnsi="宋体" w:eastAsia="宋体" w:cs="宋体"/>
          <w:b/>
          <w:color w:val="auto"/>
          <w:sz w:val="72"/>
          <w:highlight w:val="none"/>
        </w:rPr>
      </w:pPr>
    </w:p>
    <w:p w14:paraId="3E40A1CC">
      <w:pPr>
        <w:jc w:val="center"/>
        <w:outlineLvl w:val="1"/>
        <w:rPr>
          <w:rFonts w:hint="eastAsia" w:ascii="宋体" w:hAnsi="宋体" w:eastAsia="宋体" w:cs="宋体"/>
          <w:b/>
          <w:color w:val="auto"/>
          <w:sz w:val="72"/>
          <w:highlight w:val="none"/>
        </w:rPr>
      </w:pPr>
      <w:bookmarkStart w:id="187" w:name="_Toc8365"/>
      <w:r>
        <w:rPr>
          <w:rFonts w:hint="eastAsia" w:ascii="宋体" w:hAnsi="宋体" w:eastAsia="宋体" w:cs="宋体"/>
          <w:b/>
          <w:color w:val="auto"/>
          <w:sz w:val="72"/>
          <w:highlight w:val="none"/>
        </w:rPr>
        <w:t>件</w:t>
      </w:r>
      <w:bookmarkEnd w:id="187"/>
    </w:p>
    <w:p w14:paraId="7353E53B">
      <w:pPr>
        <w:spacing w:after="156" w:afterLines="50"/>
        <w:jc w:val="center"/>
        <w:rPr>
          <w:rFonts w:hint="eastAsia" w:ascii="宋体" w:hAnsi="宋体" w:eastAsia="宋体" w:cs="宋体"/>
          <w:b/>
          <w:color w:val="auto"/>
          <w:sz w:val="72"/>
          <w:highlight w:val="none"/>
        </w:rPr>
      </w:pPr>
    </w:p>
    <w:p w14:paraId="7AC9C3FD">
      <w:pPr>
        <w:spacing w:before="156" w:beforeLines="50" w:after="156" w:afterLines="50"/>
        <w:jc w:val="center"/>
        <w:outlineLvl w:val="9"/>
        <w:rPr>
          <w:rFonts w:hint="eastAsia" w:ascii="宋体" w:hAnsi="宋体" w:eastAsia="宋体" w:cs="宋体"/>
          <w:b/>
          <w:color w:val="auto"/>
          <w:sz w:val="32"/>
          <w:szCs w:val="32"/>
          <w:highlight w:val="none"/>
        </w:rPr>
      </w:pPr>
    </w:p>
    <w:p w14:paraId="422E4AF3">
      <w:pPr>
        <w:spacing w:after="156" w:afterLines="50" w:line="500" w:lineRule="exact"/>
        <w:jc w:val="center"/>
        <w:rPr>
          <w:rFonts w:hint="eastAsia" w:ascii="宋体" w:hAnsi="宋体" w:eastAsia="宋体" w:cs="宋体"/>
          <w:b/>
          <w:color w:val="auto"/>
          <w:sz w:val="28"/>
          <w:szCs w:val="28"/>
          <w:highlight w:val="none"/>
        </w:rPr>
      </w:pPr>
    </w:p>
    <w:p w14:paraId="4957C6C1">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361354A8">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64096A05">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lang w:val="en-US" w:eastAsia="zh-CN"/>
        </w:rPr>
        <w:t xml:space="preserve">投 </w:t>
      </w:r>
      <w:r>
        <w:rPr>
          <w:rFonts w:hint="eastAsia" w:ascii="宋体" w:hAnsi="宋体" w:eastAsia="宋体" w:cs="宋体"/>
          <w:b/>
          <w:color w:val="auto"/>
          <w:sz w:val="32"/>
          <w:highlight w:val="none"/>
        </w:rPr>
        <w:t>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31B7568B">
      <w:pPr>
        <w:spacing w:after="156" w:afterLines="50" w:line="500" w:lineRule="exact"/>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bookmarkStart w:id="188" w:name="_Toc8037"/>
      <w:bookmarkStart w:id="189" w:name="_Toc19687"/>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bookmarkEnd w:id="188"/>
      <w:bookmarkEnd w:id="189"/>
    </w:p>
    <w:p w14:paraId="6BE06E46">
      <w:pPr>
        <w:widowControl/>
        <w:jc w:val="center"/>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br w:type="page"/>
      </w:r>
      <w:r>
        <w:rPr>
          <w:rFonts w:hint="eastAsia" w:ascii="宋体" w:hAnsi="宋体" w:eastAsia="宋体" w:cs="宋体"/>
          <w:b/>
          <w:color w:val="auto"/>
          <w:sz w:val="28"/>
          <w:highlight w:val="none"/>
          <w:lang w:val="en-US" w:eastAsia="zh-CN"/>
        </w:rPr>
        <w:t>目  录</w:t>
      </w:r>
    </w:p>
    <w:p w14:paraId="3BE61E8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6453937C">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（2）诚信投标承诺书；（格式见附件）</w:t>
      </w:r>
    </w:p>
    <w:p w14:paraId="15A6D0CC">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（3）投标人资格声明书（格式见附件）</w:t>
      </w:r>
    </w:p>
    <w:p w14:paraId="38279121">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val="en-US" w:eastAsia="zh-CN"/>
        </w:rPr>
        <w:t xml:space="preserve">（格式见附件） </w:t>
      </w:r>
    </w:p>
    <w:p w14:paraId="6BF93701">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（5）开标一览表（格式见附件）；</w:t>
      </w:r>
    </w:p>
    <w:p w14:paraId="4146E3A6">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（6）投标函（格式见附件）； </w:t>
      </w:r>
    </w:p>
    <w:p w14:paraId="33E93F8D">
      <w:pPr>
        <w:spacing w:line="360" w:lineRule="auto"/>
        <w:ind w:firstLine="435"/>
        <w:rPr>
          <w:rFonts w:hint="eastAsia"/>
          <w:lang w:val="en-US" w:eastAsia="zh-CN"/>
        </w:rPr>
      </w:pPr>
      <w:r>
        <w:rPr>
          <w:rFonts w:hint="eastAsia" w:ascii="宋体" w:hAnsi="宋体" w:eastAsia="宋体" w:cs="宋体"/>
          <w:color w:val="auto"/>
          <w:sz w:val="24"/>
          <w:highlight w:val="none"/>
          <w:lang w:val="en-US" w:eastAsia="zh-CN"/>
        </w:rPr>
        <w:t>（7）投标响应表（格式见附件）；</w:t>
      </w:r>
    </w:p>
    <w:p w14:paraId="4C630E0C">
      <w:pPr>
        <w:wordWrap w:val="0"/>
        <w:spacing w:beforeLines="0" w:afterLines="0" w:line="360" w:lineRule="auto"/>
        <w:ind w:firstLine="437"/>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lang w:val="en-US" w:eastAsia="zh-CN"/>
        </w:rPr>
        <w:t>（8）</w:t>
      </w:r>
      <w:r>
        <w:rPr>
          <w:rFonts w:hint="default" w:ascii="宋体" w:hAnsi="宋体" w:eastAsia="宋体" w:cs="宋体"/>
          <w:color w:val="auto"/>
          <w:sz w:val="24"/>
          <w:highlight w:val="none"/>
          <w:u w:val="none"/>
          <w:lang w:val="en-US" w:eastAsia="zh-CN"/>
        </w:rPr>
        <w:t>根据《建设项目环境影响报告书（表）编制监督管理办法》要求：</w:t>
      </w:r>
    </w:p>
    <w:p w14:paraId="22E83758">
      <w:pPr>
        <w:wordWrap w:val="0"/>
        <w:spacing w:beforeLines="0" w:afterLines="0" w:line="360" w:lineRule="auto"/>
        <w:ind w:firstLine="437"/>
        <w:rPr>
          <w:rFonts w:hint="default" w:ascii="宋体" w:hAnsi="宋体" w:eastAsia="宋体" w:cs="宋体"/>
          <w:color w:val="auto"/>
          <w:sz w:val="24"/>
          <w:highlight w:val="none"/>
          <w:u w:val="none"/>
          <w:lang w:val="en-US" w:eastAsia="zh-CN"/>
        </w:rPr>
      </w:pPr>
      <w:r>
        <w:rPr>
          <w:rFonts w:hint="default" w:ascii="宋体" w:hAnsi="宋体" w:eastAsia="宋体" w:cs="宋体"/>
          <w:color w:val="auto"/>
          <w:sz w:val="24"/>
          <w:highlight w:val="none"/>
          <w:u w:val="none"/>
          <w:lang w:val="en-US" w:eastAsia="zh-CN"/>
        </w:rPr>
        <w:t>①投标单位在中华人民共和国生态环境部“环境影响评价信用平台（http://114.251.10.92:8080/XYPT/）注册。（提供有效的环境影响评价信用平台截图证明并加盖公章。）</w:t>
      </w:r>
    </w:p>
    <w:p w14:paraId="00E31DBE">
      <w:pPr>
        <w:wordWrap w:val="0"/>
        <w:spacing w:beforeLines="0" w:afterLines="0" w:line="360" w:lineRule="auto"/>
        <w:ind w:firstLine="437"/>
        <w:rPr>
          <w:rFonts w:hint="default" w:ascii="宋体" w:hAnsi="宋体" w:eastAsia="宋体" w:cs="宋体"/>
          <w:color w:val="auto"/>
          <w:sz w:val="24"/>
          <w:highlight w:val="none"/>
          <w:u w:val="none"/>
          <w:lang w:val="en-US" w:eastAsia="zh-CN"/>
        </w:rPr>
      </w:pPr>
      <w:r>
        <w:rPr>
          <w:rFonts w:hint="default" w:ascii="宋体" w:hAnsi="宋体" w:eastAsia="宋体" w:cs="宋体"/>
          <w:color w:val="auto"/>
          <w:sz w:val="24"/>
          <w:highlight w:val="none"/>
          <w:u w:val="none"/>
          <w:lang w:val="en-US" w:eastAsia="zh-CN"/>
        </w:rPr>
        <w:t>②项目负责人具有环境影响评价工程师职业资格证书，在本单位注册，且已在中华人民共和国生态环境部“环境影响评价信用平台”（http://114.251.10.92:8080/XYPT/）注册。（提供证书复印件及环境影响评价信用平台截图证明加盖公章。）</w:t>
      </w:r>
    </w:p>
    <w:p w14:paraId="62D8DF82">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（9）投标人认为需要提供的其他评审及证明材料</w:t>
      </w:r>
    </w:p>
    <w:p w14:paraId="2237C24D">
      <w:pPr>
        <w:spacing w:line="360" w:lineRule="auto"/>
        <w:ind w:firstLine="435"/>
        <w:rPr>
          <w:rFonts w:hint="eastAsia" w:ascii="宋体" w:hAnsi="宋体" w:eastAsia="宋体" w:cs="宋体"/>
          <w:color w:val="auto"/>
          <w:sz w:val="24"/>
          <w:highlight w:val="none"/>
          <w:lang w:val="en-US" w:eastAsia="zh-CN"/>
        </w:rPr>
      </w:pPr>
    </w:p>
    <w:p w14:paraId="19B637E1">
      <w:pPr>
        <w:spacing w:line="360" w:lineRule="auto"/>
        <w:ind w:firstLine="435"/>
        <w:rPr>
          <w:rFonts w:hint="eastAsia" w:ascii="宋体" w:hAnsi="宋体" w:eastAsia="宋体" w:cs="宋体"/>
          <w:color w:val="auto"/>
          <w:sz w:val="24"/>
          <w:highlight w:val="none"/>
          <w:lang w:val="en-US" w:eastAsia="zh-CN"/>
        </w:rPr>
      </w:pPr>
    </w:p>
    <w:p w14:paraId="16B2516C">
      <w:pPr>
        <w:spacing w:line="360" w:lineRule="auto"/>
        <w:ind w:firstLine="435"/>
        <w:rPr>
          <w:rFonts w:hint="eastAsia" w:ascii="宋体" w:hAnsi="宋体" w:eastAsia="宋体" w:cs="宋体"/>
          <w:color w:val="auto"/>
          <w:sz w:val="24"/>
          <w:highlight w:val="none"/>
          <w:lang w:val="en-US" w:eastAsia="zh-CN"/>
        </w:rPr>
      </w:pPr>
    </w:p>
    <w:p w14:paraId="25162C5C">
      <w:pPr>
        <w:spacing w:line="360" w:lineRule="auto"/>
        <w:ind w:firstLine="435"/>
        <w:rPr>
          <w:rFonts w:hint="eastAsia" w:ascii="宋体" w:hAnsi="宋体" w:eastAsia="宋体" w:cs="宋体"/>
          <w:color w:val="auto"/>
          <w:sz w:val="24"/>
          <w:highlight w:val="none"/>
          <w:lang w:val="en-US" w:eastAsia="zh-CN"/>
        </w:rPr>
      </w:pPr>
    </w:p>
    <w:p w14:paraId="6719EB2E">
      <w:pPr>
        <w:spacing w:line="360" w:lineRule="auto"/>
        <w:ind w:firstLine="435"/>
        <w:rPr>
          <w:rFonts w:hint="eastAsia" w:ascii="宋体" w:hAnsi="宋体" w:eastAsia="宋体" w:cs="宋体"/>
          <w:color w:val="auto"/>
          <w:sz w:val="24"/>
          <w:highlight w:val="none"/>
          <w:lang w:val="en-US" w:eastAsia="zh-CN"/>
        </w:rPr>
      </w:pPr>
    </w:p>
    <w:p w14:paraId="288E8A6D">
      <w:pPr>
        <w:spacing w:line="360" w:lineRule="auto"/>
        <w:jc w:val="center"/>
        <w:outlineLvl w:val="1"/>
        <w:rPr>
          <w:rFonts w:hint="eastAsia" w:ascii="宋体" w:hAnsi="宋体" w:eastAsia="宋体"/>
          <w:b/>
          <w:color w:val="auto"/>
          <w:sz w:val="24"/>
          <w:highlight w:val="none"/>
          <w:lang w:val="en-US" w:eastAsia="zh-CN"/>
        </w:rPr>
      </w:pPr>
    </w:p>
    <w:p w14:paraId="1E0CBF87">
      <w:pPr>
        <w:spacing w:line="360" w:lineRule="auto"/>
        <w:jc w:val="center"/>
        <w:outlineLvl w:val="1"/>
        <w:rPr>
          <w:rFonts w:hint="eastAsia" w:ascii="宋体" w:hAnsi="宋体" w:eastAsia="宋体"/>
          <w:b/>
          <w:color w:val="auto"/>
          <w:sz w:val="24"/>
          <w:highlight w:val="none"/>
          <w:lang w:val="en-US" w:eastAsia="zh-CN"/>
        </w:rPr>
      </w:pPr>
    </w:p>
    <w:p w14:paraId="6F31C066">
      <w:pPr>
        <w:spacing w:line="360" w:lineRule="auto"/>
        <w:jc w:val="center"/>
        <w:outlineLvl w:val="1"/>
        <w:rPr>
          <w:rFonts w:hint="eastAsia" w:ascii="宋体" w:hAnsi="宋体" w:eastAsia="宋体"/>
          <w:b/>
          <w:color w:val="auto"/>
          <w:sz w:val="24"/>
          <w:highlight w:val="none"/>
          <w:lang w:val="en-US" w:eastAsia="zh-CN"/>
        </w:rPr>
      </w:pPr>
    </w:p>
    <w:p w14:paraId="74B82C27">
      <w:pPr>
        <w:spacing w:line="360" w:lineRule="auto"/>
        <w:jc w:val="center"/>
        <w:outlineLvl w:val="1"/>
        <w:rPr>
          <w:rFonts w:hint="eastAsia" w:ascii="宋体" w:hAnsi="宋体" w:eastAsia="宋体"/>
          <w:b/>
          <w:color w:val="auto"/>
          <w:sz w:val="24"/>
          <w:highlight w:val="none"/>
          <w:lang w:val="en-US" w:eastAsia="zh-CN"/>
        </w:rPr>
      </w:pPr>
    </w:p>
    <w:p w14:paraId="1B9F8060">
      <w:pPr>
        <w:spacing w:line="360" w:lineRule="auto"/>
        <w:jc w:val="center"/>
        <w:outlineLvl w:val="1"/>
        <w:rPr>
          <w:rFonts w:hint="eastAsia" w:ascii="宋体" w:hAnsi="宋体" w:eastAsia="宋体"/>
          <w:b/>
          <w:color w:val="auto"/>
          <w:sz w:val="24"/>
          <w:highlight w:val="none"/>
          <w:lang w:val="en-US" w:eastAsia="zh-CN"/>
        </w:rPr>
      </w:pPr>
    </w:p>
    <w:p w14:paraId="63A6EB7B">
      <w:pPr>
        <w:spacing w:line="360" w:lineRule="auto"/>
        <w:jc w:val="center"/>
        <w:outlineLvl w:val="1"/>
        <w:rPr>
          <w:rFonts w:hint="eastAsia" w:ascii="宋体" w:hAnsi="宋体" w:eastAsia="宋体"/>
          <w:b/>
          <w:color w:val="auto"/>
          <w:sz w:val="24"/>
          <w:highlight w:val="none"/>
          <w:lang w:val="en-US" w:eastAsia="zh-CN"/>
        </w:rPr>
      </w:pPr>
    </w:p>
    <w:p w14:paraId="0E2C9037">
      <w:pPr>
        <w:spacing w:line="360" w:lineRule="auto"/>
        <w:jc w:val="center"/>
        <w:outlineLvl w:val="1"/>
        <w:rPr>
          <w:rFonts w:hint="eastAsia" w:ascii="宋体" w:hAnsi="宋体" w:eastAsia="宋体"/>
          <w:b/>
          <w:color w:val="auto"/>
          <w:sz w:val="24"/>
          <w:highlight w:val="none"/>
          <w:lang w:val="en-US" w:eastAsia="zh-CN"/>
        </w:rPr>
      </w:pPr>
    </w:p>
    <w:p w14:paraId="153A355B">
      <w:pPr>
        <w:spacing w:line="360" w:lineRule="auto"/>
        <w:jc w:val="center"/>
        <w:outlineLvl w:val="1"/>
        <w:rPr>
          <w:rFonts w:hint="eastAsia" w:ascii="宋体" w:hAnsi="宋体" w:eastAsia="宋体"/>
          <w:b/>
          <w:color w:val="auto"/>
          <w:sz w:val="24"/>
          <w:highlight w:val="none"/>
          <w:lang w:val="en-US" w:eastAsia="zh-CN"/>
        </w:rPr>
      </w:pPr>
    </w:p>
    <w:p w14:paraId="24C6C4F9">
      <w:pPr>
        <w:spacing w:line="360" w:lineRule="auto"/>
        <w:jc w:val="center"/>
        <w:outlineLvl w:val="1"/>
        <w:rPr>
          <w:rFonts w:hint="eastAsia" w:ascii="宋体" w:hAnsi="宋体" w:eastAsia="宋体"/>
          <w:b/>
          <w:color w:val="auto"/>
          <w:sz w:val="24"/>
          <w:highlight w:val="none"/>
          <w:lang w:val="en-US" w:eastAsia="zh-CN"/>
        </w:rPr>
      </w:pPr>
    </w:p>
    <w:p w14:paraId="7FF7D98E">
      <w:pPr>
        <w:spacing w:line="360" w:lineRule="auto"/>
        <w:jc w:val="center"/>
        <w:outlineLvl w:val="1"/>
        <w:rPr>
          <w:rFonts w:hint="eastAsia" w:ascii="宋体" w:hAnsi="宋体" w:eastAsia="宋体"/>
          <w:b/>
          <w:color w:val="auto"/>
          <w:sz w:val="24"/>
          <w:highlight w:val="none"/>
          <w:lang w:val="en-US" w:eastAsia="zh-CN"/>
        </w:rPr>
      </w:pPr>
    </w:p>
    <w:p w14:paraId="29982D7A">
      <w:pPr>
        <w:spacing w:line="360" w:lineRule="auto"/>
        <w:jc w:val="center"/>
        <w:outlineLvl w:val="1"/>
        <w:rPr>
          <w:rFonts w:ascii="宋体" w:hAnsi="宋体" w:eastAsia="宋体"/>
          <w:b/>
          <w:color w:val="auto"/>
          <w:sz w:val="24"/>
          <w:highlight w:val="none"/>
        </w:rPr>
      </w:pPr>
      <w:r>
        <w:rPr>
          <w:rFonts w:hint="eastAsia" w:ascii="宋体" w:hAnsi="宋体" w:eastAsia="宋体"/>
          <w:b/>
          <w:color w:val="auto"/>
          <w:sz w:val="24"/>
          <w:highlight w:val="none"/>
          <w:lang w:val="en-US" w:eastAsia="zh-CN"/>
        </w:rPr>
        <w:t>一</w:t>
      </w:r>
      <w:r>
        <w:rPr>
          <w:rFonts w:hint="eastAsia" w:ascii="宋体" w:hAnsi="宋体" w:eastAsia="宋体"/>
          <w:b/>
          <w:color w:val="auto"/>
          <w:sz w:val="24"/>
          <w:highlight w:val="none"/>
        </w:rPr>
        <w:t>、授权书</w:t>
      </w:r>
    </w:p>
    <w:p w14:paraId="5935DB1F">
      <w:pPr>
        <w:pStyle w:val="14"/>
        <w:snapToGrid w:val="0"/>
        <w:spacing w:line="360" w:lineRule="auto"/>
        <w:ind w:firstLine="480" w:firstLineChars="200"/>
        <w:jc w:val="left"/>
        <w:rPr>
          <w:rFonts w:hAnsi="宋体" w:eastAsia="宋体"/>
          <w:color w:val="auto"/>
          <w:sz w:val="24"/>
          <w:szCs w:val="28"/>
          <w:highlight w:val="none"/>
        </w:rPr>
      </w:pPr>
    </w:p>
    <w:p w14:paraId="7EF08F3C">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072FAED">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EE16A3C">
      <w:pPr>
        <w:spacing w:line="360" w:lineRule="auto"/>
        <w:ind w:firstLine="435"/>
        <w:rPr>
          <w:rFonts w:hAnsi="宋体" w:eastAsia="宋体"/>
          <w:b/>
          <w:bCs/>
          <w:color w:val="auto"/>
          <w:sz w:val="24"/>
          <w:highlight w:val="none"/>
        </w:rPr>
      </w:pPr>
      <w:r>
        <w:rPr>
          <w:rFonts w:hint="eastAsia" w:hAnsi="宋体" w:eastAsia="宋体"/>
          <w:b/>
          <w:bCs/>
          <w:color w:val="auto"/>
          <w:sz w:val="24"/>
          <w:szCs w:val="28"/>
          <w:highlight w:val="none"/>
        </w:rPr>
        <w:t>授权</w:t>
      </w:r>
      <w:r>
        <w:rPr>
          <w:rFonts w:hint="eastAsia" w:ascii="宋体" w:hAnsi="宋体" w:eastAsia="宋体"/>
          <w:b/>
          <w:bCs/>
          <w:color w:val="auto"/>
          <w:sz w:val="24"/>
          <w:highlight w:val="none"/>
        </w:rPr>
        <w:t>代表</w:t>
      </w:r>
      <w:r>
        <w:rPr>
          <w:rFonts w:hint="eastAsia" w:hAnsi="宋体" w:eastAsia="宋体"/>
          <w:b/>
          <w:bCs/>
          <w:color w:val="auto"/>
          <w:sz w:val="24"/>
          <w:highlight w:val="none"/>
        </w:rPr>
        <w:t>身份证明扫描件：</w:t>
      </w:r>
    </w:p>
    <w:p w14:paraId="658D2603">
      <w:pPr>
        <w:spacing w:line="360" w:lineRule="auto"/>
        <w:ind w:firstLine="435"/>
        <w:rPr>
          <w:rFonts w:ascii="宋体" w:hAnsi="宋体" w:eastAsia="宋体"/>
          <w:color w:val="auto"/>
          <w:sz w:val="24"/>
          <w:highlight w:val="none"/>
        </w:rPr>
      </w:pPr>
    </w:p>
    <w:p w14:paraId="5C8833CF">
      <w:pPr>
        <w:spacing w:line="360" w:lineRule="auto"/>
        <w:ind w:firstLine="435"/>
        <w:rPr>
          <w:rFonts w:ascii="宋体" w:hAnsi="宋体" w:eastAsia="宋体"/>
          <w:color w:val="auto"/>
          <w:sz w:val="24"/>
          <w:highlight w:val="none"/>
        </w:rPr>
      </w:pPr>
    </w:p>
    <w:p w14:paraId="272C6B83">
      <w:pPr>
        <w:spacing w:line="360" w:lineRule="auto"/>
        <w:ind w:firstLine="435"/>
        <w:rPr>
          <w:rFonts w:ascii="宋体" w:hAnsi="宋体" w:eastAsia="宋体"/>
          <w:color w:val="auto"/>
          <w:sz w:val="24"/>
          <w:highlight w:val="none"/>
        </w:rPr>
      </w:pPr>
    </w:p>
    <w:p w14:paraId="302C3659">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7CA2A6B5">
      <w:pPr>
        <w:spacing w:line="360" w:lineRule="auto"/>
        <w:ind w:firstLine="435"/>
        <w:rPr>
          <w:rFonts w:hAnsi="宋体" w:eastAsia="宋体"/>
          <w:color w:val="auto"/>
          <w:sz w:val="24"/>
          <w:szCs w:val="28"/>
          <w:highlight w:val="none"/>
          <w:lang w:val="zh-CN"/>
        </w:rPr>
      </w:pPr>
    </w:p>
    <w:p w14:paraId="50575138">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0F636F92">
      <w:pPr>
        <w:spacing w:line="360" w:lineRule="auto"/>
        <w:rPr>
          <w:rFonts w:ascii="宋体" w:hAnsi="宋体" w:eastAsia="宋体"/>
          <w:color w:val="auto"/>
          <w:sz w:val="24"/>
          <w:szCs w:val="28"/>
          <w:highlight w:val="none"/>
        </w:rPr>
      </w:pPr>
    </w:p>
    <w:p w14:paraId="5DD6D71E">
      <w:pP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5CE0B68A">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13C75983">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266B2FFC">
      <w:pPr>
        <w:spacing w:line="360" w:lineRule="auto"/>
        <w:ind w:firstLine="435"/>
        <w:rPr>
          <w:rFonts w:ascii="宋体" w:hAnsi="宋体" w:eastAsia="宋体"/>
          <w:color w:val="auto"/>
          <w:sz w:val="24"/>
          <w:highlight w:val="none"/>
        </w:rPr>
      </w:pPr>
    </w:p>
    <w:p w14:paraId="4646540B">
      <w:pPr>
        <w:spacing w:line="360" w:lineRule="auto"/>
        <w:ind w:firstLine="435"/>
        <w:rPr>
          <w:rFonts w:ascii="宋体" w:hAnsi="宋体" w:eastAsia="宋体"/>
          <w:color w:val="auto"/>
          <w:sz w:val="24"/>
          <w:highlight w:val="none"/>
        </w:rPr>
      </w:pPr>
    </w:p>
    <w:p w14:paraId="60EFBB9A">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7B2B29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314DD40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76230307">
      <w:pPr>
        <w:spacing w:line="360" w:lineRule="auto"/>
        <w:ind w:firstLine="435"/>
        <w:rPr>
          <w:rFonts w:hint="eastAsia" w:ascii="宋体" w:hAnsi="宋体" w:eastAsia="宋体" w:cs="宋体"/>
          <w:color w:val="auto"/>
          <w:sz w:val="24"/>
          <w:highlight w:val="none"/>
          <w:lang w:val="en-US" w:eastAsia="zh-CN"/>
        </w:rPr>
      </w:pPr>
    </w:p>
    <w:p w14:paraId="2EBA7F16">
      <w:pPr>
        <w:spacing w:line="360" w:lineRule="auto"/>
        <w:ind w:firstLine="435"/>
        <w:rPr>
          <w:rFonts w:hint="eastAsia" w:ascii="宋体" w:hAnsi="宋体" w:eastAsia="宋体" w:cs="宋体"/>
          <w:color w:val="auto"/>
          <w:sz w:val="24"/>
          <w:highlight w:val="none"/>
          <w:lang w:val="en-US" w:eastAsia="zh-CN"/>
        </w:rPr>
      </w:pPr>
    </w:p>
    <w:p w14:paraId="2BAFE94E">
      <w:pPr>
        <w:spacing w:line="360" w:lineRule="auto"/>
        <w:ind w:firstLine="435"/>
        <w:rPr>
          <w:rFonts w:hint="eastAsia" w:ascii="宋体" w:hAnsi="宋体" w:eastAsia="宋体" w:cs="宋体"/>
          <w:color w:val="auto"/>
          <w:sz w:val="24"/>
          <w:highlight w:val="none"/>
          <w:lang w:val="en-US" w:eastAsia="zh-CN"/>
        </w:rPr>
      </w:pPr>
    </w:p>
    <w:p w14:paraId="4C946BC5">
      <w:pPr>
        <w:spacing w:line="360" w:lineRule="auto"/>
        <w:ind w:firstLine="435"/>
        <w:rPr>
          <w:rFonts w:hint="eastAsia" w:ascii="宋体" w:hAnsi="宋体" w:eastAsia="宋体" w:cs="宋体"/>
          <w:color w:val="auto"/>
          <w:sz w:val="24"/>
          <w:highlight w:val="none"/>
          <w:lang w:val="en-US" w:eastAsia="zh-CN"/>
        </w:rPr>
      </w:pPr>
    </w:p>
    <w:p w14:paraId="7F1E6170">
      <w:pPr>
        <w:spacing w:line="360" w:lineRule="auto"/>
        <w:ind w:firstLine="435"/>
        <w:rPr>
          <w:rFonts w:hint="eastAsia" w:ascii="宋体" w:hAnsi="宋体" w:eastAsia="宋体" w:cs="宋体"/>
          <w:color w:val="auto"/>
          <w:sz w:val="24"/>
          <w:highlight w:val="none"/>
          <w:lang w:val="en-US" w:eastAsia="zh-CN"/>
        </w:rPr>
      </w:pPr>
    </w:p>
    <w:p w14:paraId="1A4F724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二、诚信投标承诺书 </w:t>
      </w:r>
    </w:p>
    <w:p w14:paraId="52DDCFA1">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本人以企业法定代表人的身份郑重承诺：</w:t>
      </w:r>
    </w:p>
    <w:p w14:paraId="153E4D75">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一、将遵循公开、公正和诚实信用的原则自愿参加</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项目的投标，所提供的一切材料都是真实、有效、合法的；</w:t>
      </w:r>
    </w:p>
    <w:p w14:paraId="40756336">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二、本单位郑重声明，根据</w:t>
      </w:r>
      <w:r>
        <w:rPr>
          <w:rFonts w:hint="eastAsia" w:ascii="宋体" w:hAnsi="宋体" w:eastAsia="宋体"/>
          <w:bCs/>
          <w:color w:val="auto"/>
          <w:sz w:val="24"/>
          <w:highlight w:val="none"/>
          <w:lang w:eastAsia="zh-CN"/>
        </w:rPr>
        <w:t>《中华人民共和国招标投标法》</w:t>
      </w:r>
      <w:r>
        <w:rPr>
          <w:rFonts w:hint="eastAsia" w:ascii="宋体" w:hAnsi="宋体" w:eastAsia="宋体"/>
          <w:bCs/>
          <w:color w:val="auto"/>
          <w:sz w:val="24"/>
          <w:highlight w:val="none"/>
        </w:rPr>
        <w:t>及</w:t>
      </w:r>
      <w:r>
        <w:rPr>
          <w:rFonts w:hint="eastAsia" w:ascii="宋体" w:hAnsi="宋体" w:eastAsia="宋体"/>
          <w:bCs/>
          <w:color w:val="auto"/>
          <w:sz w:val="24"/>
          <w:highlight w:val="none"/>
          <w:lang w:eastAsia="zh-CN"/>
        </w:rPr>
        <w:t>《中华人民共和国招标投标法实施条例》</w:t>
      </w:r>
      <w:r>
        <w:rPr>
          <w:rFonts w:hint="eastAsia" w:ascii="宋体" w:hAnsi="宋体" w:eastAsia="宋体"/>
          <w:bCs/>
          <w:color w:val="auto"/>
          <w:sz w:val="24"/>
          <w:highlight w:val="none"/>
        </w:rPr>
        <w:t>的规定，我公司具有良好的商业信誉和健全的财务会计制度，具有履行合同所必需的设备和专业技术能力，有依法缴纳税收和社会保障资金的良好记录；参加</w:t>
      </w:r>
      <w:r>
        <w:rPr>
          <w:rFonts w:hint="eastAsia" w:ascii="宋体" w:hAnsi="宋体" w:eastAsia="宋体"/>
          <w:bCs/>
          <w:color w:val="auto"/>
          <w:sz w:val="24"/>
          <w:highlight w:val="none"/>
          <w:lang w:val="en-US" w:eastAsia="zh-CN"/>
        </w:rPr>
        <w:t>招投标</w:t>
      </w:r>
      <w:r>
        <w:rPr>
          <w:rFonts w:hint="eastAsia" w:ascii="宋体" w:hAnsi="宋体" w:eastAsia="宋体"/>
          <w:bCs/>
          <w:color w:val="auto"/>
          <w:sz w:val="24"/>
          <w:highlight w:val="none"/>
        </w:rPr>
        <w:t>活动前三年内，本单位在经营活动中没有重大违法记录，没有因违法经营受到刑事处罚或者责令停产停业、吊销许可证或者执照、较大数额罚款等行政处罚。</w:t>
      </w:r>
    </w:p>
    <w:p w14:paraId="49B9DB3E">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三、不出借、转让资质证书，不让他人挂靠投标，不以他人名义投标或者以其他方式弄虚作假，骗取中标；</w:t>
      </w:r>
    </w:p>
    <w:p w14:paraId="2A558E87">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四、不与其他投标人相互串通投标报价，不排挤其他投标人的公平竞争、损害采购人的合法权益；</w:t>
      </w:r>
    </w:p>
    <w:p w14:paraId="6D62A14B">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五、不与采购人、招标代理机构或其他投标人串通投标，损害国家利益、社会公共利益或者他人的合法权益；</w:t>
      </w:r>
    </w:p>
    <w:p w14:paraId="49E34051">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六、我公司没有下列情形：1、被人民法院列入失信被执行人的；2、我公司及其法定代表人、拟任</w:t>
      </w:r>
      <w:r>
        <w:rPr>
          <w:rFonts w:hint="eastAsia" w:ascii="宋体" w:hAnsi="宋体" w:eastAsia="宋体"/>
          <w:bCs/>
          <w:color w:val="auto"/>
          <w:sz w:val="24"/>
          <w:highlight w:val="none"/>
          <w:lang w:eastAsia="zh-CN"/>
        </w:rPr>
        <w:t>项目负责人</w:t>
      </w:r>
      <w:r>
        <w:rPr>
          <w:rFonts w:hint="eastAsia" w:ascii="宋体" w:hAnsi="宋体" w:eastAsia="宋体"/>
          <w:bCs/>
          <w:color w:val="auto"/>
          <w:sz w:val="24"/>
          <w:highlight w:val="none"/>
        </w:rPr>
        <w:t>前三年有行贿犯罪行为的；3、被市场监督管理部门列入经营异常名录或者严重违法企业名单的；4、被税务部门列入重大税收违法案件当事人的；5、被监管部门列入严重违法失信行为记录名单的；6、在“信用中国”网站上披露仍在公示期的严重失信行为的；7、参与</w:t>
      </w:r>
      <w:r>
        <w:rPr>
          <w:rFonts w:hint="eastAsia" w:ascii="宋体" w:hAnsi="宋体" w:eastAsia="宋体"/>
          <w:bCs/>
          <w:color w:val="auto"/>
          <w:sz w:val="24"/>
          <w:highlight w:val="none"/>
          <w:lang w:val="en-US" w:eastAsia="zh-CN"/>
        </w:rPr>
        <w:t>招投标</w:t>
      </w:r>
      <w:r>
        <w:rPr>
          <w:rFonts w:hint="eastAsia" w:ascii="宋体" w:hAnsi="宋体" w:eastAsia="宋体"/>
          <w:bCs/>
          <w:color w:val="auto"/>
          <w:sz w:val="24"/>
          <w:highlight w:val="none"/>
        </w:rPr>
        <w:t>活动前3年在经营活动中有重大违法记录的。</w:t>
      </w:r>
    </w:p>
    <w:p w14:paraId="00DBF838">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七、严格遵守开标现场纪律，服从监管人员管理；</w:t>
      </w:r>
    </w:p>
    <w:p w14:paraId="4B63BEB9">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八、保证中标后不转包，若有分包征得采购人同意；</w:t>
      </w:r>
    </w:p>
    <w:p w14:paraId="00E4A291">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九、保证中标之后，按照投标文件要求提供相关后续服务；</w:t>
      </w:r>
    </w:p>
    <w:p w14:paraId="6C33E97A">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十、保证企业及所属相关人员在本次投标中无行贿等犯罪行为；</w:t>
      </w:r>
    </w:p>
    <w:p w14:paraId="076E6F03">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520A4B31">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以上内容我已仔细阅读，本公司若有违反承诺内容的行为，自愿接受取消投标或者中标资格、记入不良行为记录等有关处理，愿意承担法律责任，给采购人造成损失的，依法承担赔偿责任。</w:t>
      </w:r>
    </w:p>
    <w:p w14:paraId="17D38298">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 </w:t>
      </w:r>
    </w:p>
    <w:p w14:paraId="74B6EF15">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开户银行：                          基本账户：</w:t>
      </w:r>
    </w:p>
    <w:p w14:paraId="557CE71B">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投标单位（盖单位章）：          法定代表人（签</w:t>
      </w:r>
      <w:r>
        <w:rPr>
          <w:rFonts w:hint="eastAsia" w:ascii="宋体" w:hAnsi="宋体" w:eastAsia="宋体"/>
          <w:bCs/>
          <w:color w:val="auto"/>
          <w:sz w:val="24"/>
          <w:highlight w:val="none"/>
          <w:lang w:val="en-US" w:eastAsia="zh-CN"/>
        </w:rPr>
        <w:t>字或盖</w:t>
      </w:r>
      <w:r>
        <w:rPr>
          <w:rFonts w:hint="eastAsia" w:ascii="宋体" w:hAnsi="宋体" w:eastAsia="宋体"/>
          <w:bCs/>
          <w:color w:val="auto"/>
          <w:sz w:val="24"/>
          <w:highlight w:val="none"/>
        </w:rPr>
        <w:t>章）：</w:t>
      </w:r>
    </w:p>
    <w:p w14:paraId="3EDF6ABB">
      <w:pPr>
        <w:spacing w:line="360" w:lineRule="auto"/>
        <w:ind w:firstLine="480" w:firstLineChars="200"/>
        <w:rPr>
          <w:rFonts w:hint="eastAsia" w:ascii="宋体" w:hAnsi="宋体" w:eastAsia="宋体"/>
          <w:bCs/>
          <w:color w:val="auto"/>
          <w:sz w:val="24"/>
          <w:highlight w:val="none"/>
        </w:rPr>
      </w:pPr>
    </w:p>
    <w:p w14:paraId="60A0A901">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日期：</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 xml:space="preserve"> 年</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 xml:space="preserve"> 月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 xml:space="preserve"> 日</w:t>
      </w:r>
    </w:p>
    <w:p w14:paraId="678C1A4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70F0258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5D956DB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560A9B8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363ACFFA">
      <w:pPr>
        <w:spacing w:line="360" w:lineRule="auto"/>
        <w:ind w:firstLine="435"/>
        <w:rPr>
          <w:rFonts w:hint="eastAsia" w:ascii="宋体" w:hAnsi="宋体" w:eastAsia="宋体" w:cs="宋体"/>
          <w:color w:val="auto"/>
          <w:sz w:val="24"/>
          <w:highlight w:val="none"/>
          <w:lang w:val="en-US" w:eastAsia="zh-CN"/>
        </w:rPr>
      </w:pPr>
    </w:p>
    <w:p w14:paraId="4128AB9B">
      <w:pPr>
        <w:spacing w:line="360" w:lineRule="auto"/>
        <w:ind w:firstLine="435"/>
        <w:rPr>
          <w:rFonts w:hint="eastAsia" w:ascii="宋体" w:hAnsi="宋体" w:eastAsia="宋体" w:cs="宋体"/>
          <w:color w:val="auto"/>
          <w:sz w:val="24"/>
          <w:highlight w:val="none"/>
          <w:lang w:val="en-US" w:eastAsia="zh-CN"/>
        </w:rPr>
      </w:pPr>
    </w:p>
    <w:p w14:paraId="6FF9660B">
      <w:pPr>
        <w:spacing w:line="360" w:lineRule="auto"/>
        <w:ind w:firstLine="435"/>
        <w:rPr>
          <w:rFonts w:hint="eastAsia" w:ascii="宋体" w:hAnsi="宋体" w:eastAsia="宋体" w:cs="宋体"/>
          <w:color w:val="auto"/>
          <w:sz w:val="24"/>
          <w:highlight w:val="none"/>
          <w:lang w:val="en-US" w:eastAsia="zh-CN"/>
        </w:rPr>
      </w:pPr>
    </w:p>
    <w:p w14:paraId="4BCFE711">
      <w:pPr>
        <w:spacing w:line="360" w:lineRule="auto"/>
        <w:ind w:firstLine="435"/>
        <w:rPr>
          <w:rFonts w:hint="eastAsia" w:ascii="宋体" w:hAnsi="宋体" w:eastAsia="宋体" w:cs="宋体"/>
          <w:color w:val="auto"/>
          <w:sz w:val="24"/>
          <w:highlight w:val="none"/>
          <w:lang w:val="en-US" w:eastAsia="zh-CN"/>
        </w:rPr>
      </w:pPr>
    </w:p>
    <w:p w14:paraId="6EA9DE71">
      <w:pPr>
        <w:spacing w:line="360" w:lineRule="auto"/>
        <w:ind w:firstLine="435"/>
        <w:rPr>
          <w:rFonts w:hint="eastAsia" w:ascii="宋体" w:hAnsi="宋体" w:eastAsia="宋体" w:cs="宋体"/>
          <w:color w:val="auto"/>
          <w:sz w:val="24"/>
          <w:highlight w:val="none"/>
          <w:lang w:val="en-US" w:eastAsia="zh-CN"/>
        </w:rPr>
      </w:pPr>
    </w:p>
    <w:p w14:paraId="5A8F3322">
      <w:pPr>
        <w:spacing w:line="360" w:lineRule="auto"/>
        <w:ind w:firstLine="435"/>
        <w:rPr>
          <w:rFonts w:hint="eastAsia" w:ascii="宋体" w:hAnsi="宋体" w:eastAsia="宋体" w:cs="宋体"/>
          <w:color w:val="auto"/>
          <w:sz w:val="24"/>
          <w:highlight w:val="none"/>
          <w:lang w:val="en-US" w:eastAsia="zh-CN"/>
        </w:rPr>
      </w:pPr>
    </w:p>
    <w:p w14:paraId="5A5AD9EF">
      <w:pPr>
        <w:spacing w:line="360" w:lineRule="auto"/>
        <w:ind w:firstLine="435"/>
        <w:rPr>
          <w:rFonts w:hint="eastAsia" w:ascii="宋体" w:hAnsi="宋体" w:eastAsia="宋体" w:cs="宋体"/>
          <w:color w:val="auto"/>
          <w:sz w:val="24"/>
          <w:highlight w:val="none"/>
          <w:lang w:val="en-US" w:eastAsia="zh-CN"/>
        </w:rPr>
      </w:pPr>
    </w:p>
    <w:p w14:paraId="56D3B7D5">
      <w:pPr>
        <w:pStyle w:val="2"/>
        <w:rPr>
          <w:rFonts w:hint="eastAsia" w:ascii="宋体" w:hAnsi="宋体" w:eastAsia="宋体" w:cs="宋体"/>
          <w:color w:val="auto"/>
          <w:sz w:val="24"/>
          <w:highlight w:val="none"/>
          <w:lang w:val="en-US" w:eastAsia="zh-CN"/>
        </w:rPr>
      </w:pPr>
    </w:p>
    <w:p w14:paraId="6D7A3D02">
      <w:pPr>
        <w:pStyle w:val="2"/>
        <w:rPr>
          <w:rFonts w:hint="eastAsia" w:ascii="宋体" w:hAnsi="宋体" w:eastAsia="宋体" w:cs="宋体"/>
          <w:color w:val="auto"/>
          <w:sz w:val="24"/>
          <w:highlight w:val="none"/>
          <w:lang w:val="en-US" w:eastAsia="zh-CN"/>
        </w:rPr>
      </w:pPr>
    </w:p>
    <w:p w14:paraId="196529B3">
      <w:pPr>
        <w:pStyle w:val="2"/>
        <w:rPr>
          <w:rFonts w:hint="eastAsia" w:ascii="宋体" w:hAnsi="宋体" w:eastAsia="宋体" w:cs="宋体"/>
          <w:color w:val="auto"/>
          <w:sz w:val="24"/>
          <w:highlight w:val="none"/>
          <w:lang w:val="en-US" w:eastAsia="zh-CN"/>
        </w:rPr>
      </w:pPr>
    </w:p>
    <w:p w14:paraId="1428C22C">
      <w:pPr>
        <w:spacing w:line="360" w:lineRule="auto"/>
        <w:jc w:val="center"/>
        <w:outlineLvl w:val="1"/>
        <w:rPr>
          <w:rFonts w:hint="eastAsia" w:ascii="宋体" w:hAnsi="宋体" w:eastAsia="宋体"/>
          <w:b/>
          <w:color w:val="auto"/>
          <w:sz w:val="24"/>
          <w:highlight w:val="none"/>
          <w:lang w:val="en-US" w:eastAsia="zh-CN"/>
        </w:rPr>
      </w:pPr>
      <w:bookmarkStart w:id="190" w:name="_Toc1328"/>
      <w:r>
        <w:rPr>
          <w:rFonts w:hint="eastAsia" w:ascii="宋体" w:hAnsi="宋体" w:eastAsia="宋体"/>
          <w:b/>
          <w:color w:val="auto"/>
          <w:sz w:val="24"/>
          <w:highlight w:val="none"/>
          <w:lang w:val="en-US" w:eastAsia="zh-CN"/>
        </w:rPr>
        <w:t xml:space="preserve">  </w:t>
      </w:r>
    </w:p>
    <w:p w14:paraId="3FA4DBF0">
      <w:pPr>
        <w:spacing w:line="360" w:lineRule="auto"/>
        <w:jc w:val="center"/>
        <w:outlineLvl w:val="1"/>
        <w:rPr>
          <w:rFonts w:hint="eastAsia" w:ascii="宋体" w:hAnsi="宋体" w:eastAsia="宋体"/>
          <w:b/>
          <w:color w:val="auto"/>
          <w:sz w:val="24"/>
          <w:highlight w:val="none"/>
          <w:lang w:val="en-US" w:eastAsia="zh-CN"/>
        </w:rPr>
      </w:pPr>
    </w:p>
    <w:p w14:paraId="7AAFCDF3">
      <w:pPr>
        <w:spacing w:line="360" w:lineRule="auto"/>
        <w:jc w:val="center"/>
        <w:outlineLvl w:val="1"/>
        <w:rPr>
          <w:rFonts w:hint="eastAsia" w:ascii="宋体" w:hAnsi="宋体" w:eastAsia="宋体"/>
          <w:b/>
          <w:color w:val="auto"/>
          <w:sz w:val="24"/>
          <w:highlight w:val="none"/>
          <w:lang w:val="en-US" w:eastAsia="zh-CN"/>
        </w:rPr>
      </w:pPr>
    </w:p>
    <w:p w14:paraId="67510323">
      <w:pPr>
        <w:spacing w:line="360" w:lineRule="auto"/>
        <w:jc w:val="center"/>
        <w:outlineLvl w:val="1"/>
        <w:rPr>
          <w:rFonts w:hint="eastAsia" w:ascii="宋体" w:hAnsi="宋体" w:eastAsia="宋体"/>
          <w:b/>
          <w:color w:val="auto"/>
          <w:sz w:val="24"/>
          <w:highlight w:val="none"/>
          <w:lang w:val="en-US" w:eastAsia="zh-CN"/>
        </w:rPr>
      </w:pPr>
    </w:p>
    <w:p w14:paraId="2935F44C">
      <w:pPr>
        <w:spacing w:line="360" w:lineRule="auto"/>
        <w:jc w:val="center"/>
        <w:outlineLvl w:val="1"/>
        <w:rPr>
          <w:rFonts w:hint="eastAsia" w:ascii="宋体" w:hAnsi="宋体" w:eastAsia="宋体"/>
          <w:b/>
          <w:color w:val="auto"/>
          <w:sz w:val="24"/>
          <w:highlight w:val="none"/>
          <w:lang w:val="en-US" w:eastAsia="zh-CN"/>
        </w:rPr>
      </w:pPr>
    </w:p>
    <w:p w14:paraId="602B292B">
      <w:pPr>
        <w:spacing w:line="360" w:lineRule="auto"/>
        <w:jc w:val="center"/>
        <w:outlineLvl w:val="1"/>
        <w:rPr>
          <w:rFonts w:hint="eastAsia" w:ascii="宋体" w:hAnsi="宋体" w:eastAsia="宋体"/>
          <w:b/>
          <w:color w:val="auto"/>
          <w:sz w:val="24"/>
          <w:highlight w:val="none"/>
          <w:lang w:val="en-US" w:eastAsia="zh-CN"/>
        </w:rPr>
      </w:pPr>
    </w:p>
    <w:p w14:paraId="59CA3679">
      <w:pPr>
        <w:spacing w:line="360" w:lineRule="auto"/>
        <w:jc w:val="center"/>
        <w:outlineLvl w:val="1"/>
        <w:rPr>
          <w:rFonts w:hint="eastAsia" w:ascii="宋体" w:hAnsi="宋体" w:eastAsia="宋体"/>
          <w:b/>
          <w:color w:val="auto"/>
          <w:sz w:val="24"/>
          <w:highlight w:val="none"/>
          <w:lang w:val="en-US" w:eastAsia="zh-CN"/>
        </w:rPr>
      </w:pPr>
    </w:p>
    <w:p w14:paraId="66702D3D">
      <w:pPr>
        <w:spacing w:line="360" w:lineRule="auto"/>
        <w:jc w:val="center"/>
        <w:outlineLvl w:val="1"/>
        <w:rPr>
          <w:rFonts w:hint="eastAsia" w:ascii="宋体" w:hAnsi="宋体" w:eastAsia="宋体"/>
          <w:b/>
          <w:color w:val="auto"/>
          <w:sz w:val="24"/>
          <w:highlight w:val="none"/>
          <w:lang w:val="en-US" w:eastAsia="zh-CN"/>
        </w:rPr>
      </w:pPr>
    </w:p>
    <w:p w14:paraId="1EA6C10C">
      <w:pPr>
        <w:spacing w:line="360" w:lineRule="auto"/>
        <w:jc w:val="center"/>
        <w:outlineLvl w:val="1"/>
        <w:rPr>
          <w:rFonts w:hint="eastAsia" w:ascii="宋体" w:hAnsi="宋体" w:eastAsia="宋体"/>
          <w:b/>
          <w:color w:val="auto"/>
          <w:sz w:val="24"/>
          <w:highlight w:val="none"/>
          <w:lang w:val="en-US" w:eastAsia="zh-CN"/>
        </w:rPr>
      </w:pPr>
    </w:p>
    <w:p w14:paraId="57226344">
      <w:pPr>
        <w:spacing w:line="360" w:lineRule="auto"/>
        <w:jc w:val="center"/>
        <w:outlineLvl w:val="1"/>
        <w:rPr>
          <w:rFonts w:hint="eastAsia" w:ascii="宋体" w:hAnsi="宋体" w:eastAsia="宋体"/>
          <w:b/>
          <w:color w:val="auto"/>
          <w:sz w:val="24"/>
          <w:highlight w:val="none"/>
          <w:lang w:val="en-US" w:eastAsia="zh-CN"/>
        </w:rPr>
      </w:pPr>
    </w:p>
    <w:p w14:paraId="00332272">
      <w:pPr>
        <w:spacing w:line="360" w:lineRule="auto"/>
        <w:jc w:val="center"/>
        <w:outlineLvl w:val="1"/>
        <w:rPr>
          <w:rFonts w:hint="eastAsia" w:ascii="宋体" w:hAnsi="宋体" w:eastAsia="宋体"/>
          <w:b/>
          <w:color w:val="auto"/>
          <w:sz w:val="24"/>
          <w:highlight w:val="none"/>
          <w:lang w:val="en-US" w:eastAsia="zh-CN"/>
        </w:rPr>
      </w:pPr>
    </w:p>
    <w:p w14:paraId="4EC8749F">
      <w:pPr>
        <w:spacing w:line="360" w:lineRule="auto"/>
        <w:jc w:val="center"/>
        <w:outlineLvl w:val="1"/>
        <w:rPr>
          <w:rFonts w:hint="eastAsia" w:ascii="宋体" w:hAnsi="宋体" w:eastAsia="宋体"/>
          <w:b/>
          <w:color w:val="auto"/>
          <w:sz w:val="24"/>
          <w:highlight w:val="none"/>
        </w:rPr>
      </w:pPr>
      <w:r>
        <w:rPr>
          <w:rFonts w:hint="eastAsia" w:ascii="宋体" w:hAnsi="宋体" w:eastAsia="宋体"/>
          <w:b/>
          <w:color w:val="auto"/>
          <w:sz w:val="24"/>
          <w:highlight w:val="none"/>
          <w:lang w:val="en-US" w:eastAsia="zh-CN"/>
        </w:rPr>
        <w:t>三、投标人资格声明书</w:t>
      </w:r>
      <w:bookmarkEnd w:id="190"/>
    </w:p>
    <w:p w14:paraId="7BA4E9AA">
      <w:pPr>
        <w:pStyle w:val="15"/>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024B85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713804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1A44CA7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1E11BD1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7D717E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C4323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068648A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E1D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325DC067">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06B60406">
            <w:pPr>
              <w:pStyle w:val="11"/>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7A933586">
            <w:pPr>
              <w:pStyle w:val="11"/>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280E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2CD011F">
            <w:pPr>
              <w:pStyle w:val="11"/>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28008863">
            <w:pPr>
              <w:pStyle w:val="11"/>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332B0BD0">
            <w:pPr>
              <w:pStyle w:val="11"/>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1BE9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4F88B8B">
            <w:pPr>
              <w:pStyle w:val="11"/>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39E79073">
            <w:pPr>
              <w:pStyle w:val="11"/>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43167473">
            <w:pPr>
              <w:pStyle w:val="11"/>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3FEAFE2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011E874F">
      <w:pPr>
        <w:spacing w:line="360" w:lineRule="auto"/>
        <w:ind w:firstLine="4800" w:firstLineChars="2000"/>
        <w:rPr>
          <w:rFonts w:ascii="宋体" w:hAnsi="宋体" w:eastAsia="宋体"/>
          <w:color w:val="auto"/>
          <w:sz w:val="24"/>
          <w:highlight w:val="none"/>
        </w:rPr>
      </w:pPr>
    </w:p>
    <w:p w14:paraId="44D709D5">
      <w:pP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774373C">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100158D">
      <w:pPr>
        <w:pStyle w:val="11"/>
        <w:rPr>
          <w:rFonts w:hint="eastAsia" w:ascii="宋体" w:hAnsi="宋体" w:eastAsia="宋体" w:cs="宋体"/>
          <w:color w:val="000000"/>
          <w:kern w:val="0"/>
          <w:sz w:val="24"/>
          <w:szCs w:val="24"/>
          <w:highlight w:val="none"/>
          <w:lang w:val="en-US" w:eastAsia="zh-CN"/>
        </w:rPr>
      </w:pPr>
    </w:p>
    <w:p w14:paraId="3B292636">
      <w:pPr>
        <w:pStyle w:val="11"/>
        <w:rPr>
          <w:rFonts w:hint="eastAsia" w:ascii="宋体" w:hAnsi="宋体" w:eastAsia="宋体" w:cs="宋体"/>
          <w:color w:val="000000"/>
          <w:kern w:val="0"/>
          <w:sz w:val="24"/>
          <w:szCs w:val="24"/>
          <w:highlight w:val="none"/>
          <w:lang w:val="en-US" w:eastAsia="zh-CN"/>
        </w:rPr>
      </w:pPr>
    </w:p>
    <w:p w14:paraId="78EAF3D3">
      <w:pPr>
        <w:pStyle w:val="11"/>
        <w:rPr>
          <w:rFonts w:hint="eastAsia" w:ascii="宋体" w:hAnsi="宋体" w:eastAsia="宋体" w:cs="宋体"/>
          <w:color w:val="000000"/>
          <w:kern w:val="0"/>
          <w:sz w:val="24"/>
          <w:szCs w:val="24"/>
          <w:highlight w:val="none"/>
          <w:lang w:val="en-US" w:eastAsia="zh-CN"/>
        </w:rPr>
      </w:pPr>
    </w:p>
    <w:p w14:paraId="2218F1B5">
      <w:pPr>
        <w:rPr>
          <w:rFonts w:hint="eastAsia" w:ascii="宋体" w:hAnsi="宋体" w:eastAsia="宋体"/>
          <w:b/>
          <w:color w:val="auto"/>
          <w:sz w:val="24"/>
          <w:highlight w:val="none"/>
        </w:rPr>
      </w:pPr>
      <w:bookmarkStart w:id="191" w:name="_Toc11607"/>
      <w:r>
        <w:rPr>
          <w:rFonts w:hint="eastAsia" w:ascii="宋体" w:hAnsi="宋体" w:eastAsia="宋体"/>
          <w:b/>
          <w:color w:val="auto"/>
          <w:sz w:val="24"/>
          <w:highlight w:val="none"/>
        </w:rPr>
        <w:br w:type="page"/>
      </w:r>
    </w:p>
    <w:bookmarkEnd w:id="191"/>
    <w:p w14:paraId="55C92022">
      <w:pPr>
        <w:spacing w:line="360" w:lineRule="auto"/>
        <w:jc w:val="center"/>
        <w:outlineLvl w:val="1"/>
        <w:rPr>
          <w:rFonts w:hint="eastAsia" w:ascii="宋体" w:hAnsi="宋体" w:eastAsia="宋体"/>
          <w:b/>
          <w:color w:val="auto"/>
          <w:sz w:val="24"/>
          <w:highlight w:val="none"/>
          <w:lang w:val="en-US" w:eastAsia="zh-CN"/>
        </w:rPr>
      </w:pPr>
      <w:bookmarkStart w:id="192" w:name="_Toc520299348"/>
      <w:bookmarkStart w:id="193" w:name="_Toc457768004"/>
      <w:bookmarkStart w:id="194" w:name="_Toc300210382"/>
      <w:bookmarkStart w:id="195" w:name="_Toc25813"/>
      <w:r>
        <w:rPr>
          <w:rFonts w:hint="eastAsia" w:ascii="宋体" w:hAnsi="宋体" w:eastAsia="宋体"/>
          <w:b/>
          <w:color w:val="auto"/>
          <w:sz w:val="24"/>
          <w:highlight w:val="none"/>
          <w:lang w:val="en-US" w:eastAsia="zh-CN"/>
        </w:rPr>
        <w:t>四、</w:t>
      </w:r>
      <w:bookmarkEnd w:id="192"/>
      <w:bookmarkEnd w:id="193"/>
      <w:bookmarkEnd w:id="194"/>
      <w:r>
        <w:rPr>
          <w:rFonts w:hint="eastAsia" w:ascii="宋体" w:hAnsi="宋体" w:eastAsia="宋体"/>
          <w:b/>
          <w:color w:val="auto"/>
          <w:sz w:val="24"/>
          <w:highlight w:val="none"/>
          <w:lang w:val="en-US" w:eastAsia="zh-CN"/>
        </w:rPr>
        <w:t>诚信履约承诺函</w:t>
      </w:r>
      <w:bookmarkEnd w:id="195"/>
    </w:p>
    <w:p w14:paraId="210131F9">
      <w:pPr>
        <w:spacing w:line="360" w:lineRule="auto"/>
        <w:rPr>
          <w:rFonts w:ascii="宋体" w:hAnsi="宋体" w:eastAsia="宋体"/>
          <w:b/>
          <w:bCs/>
          <w:color w:val="auto"/>
          <w:sz w:val="24"/>
          <w:highlight w:val="none"/>
        </w:rPr>
      </w:pPr>
    </w:p>
    <w:p w14:paraId="5FDDB8F6">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29C0C512">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F21E3F4">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2357308E">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4693DCDC">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3E6BF9B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562DDA33">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16BCC1EA">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9F97AD6">
      <w:pPr>
        <w:spacing w:line="360" w:lineRule="auto"/>
        <w:rPr>
          <w:rFonts w:ascii="宋体" w:hAnsi="宋体" w:eastAsia="宋体"/>
          <w:bCs/>
          <w:color w:val="auto"/>
          <w:sz w:val="24"/>
          <w:highlight w:val="none"/>
        </w:rPr>
      </w:pPr>
    </w:p>
    <w:p w14:paraId="54E2C32A">
      <w:pPr>
        <w:spacing w:line="360" w:lineRule="auto"/>
        <w:rPr>
          <w:rFonts w:ascii="宋体" w:hAnsi="宋体" w:eastAsia="宋体"/>
          <w:bCs/>
          <w:color w:val="auto"/>
          <w:sz w:val="24"/>
          <w:highlight w:val="none"/>
        </w:rPr>
      </w:pPr>
    </w:p>
    <w:p w14:paraId="716DDF72">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3D418E94">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A29443E">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p w14:paraId="3A464A0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bookmarkStart w:id="196" w:name="_Toc9573"/>
      <w:bookmarkStart w:id="197" w:name="OLE_LINK14"/>
      <w:bookmarkStart w:id="198" w:name="OLE_LINK13"/>
      <w:bookmarkStart w:id="199" w:name="_Toc31244"/>
    </w:p>
    <w:bookmarkEnd w:id="196"/>
    <w:bookmarkEnd w:id="197"/>
    <w:bookmarkEnd w:id="198"/>
    <w:bookmarkEnd w:id="199"/>
    <w:p w14:paraId="1ACB0579">
      <w:pPr>
        <w:spacing w:line="360" w:lineRule="auto"/>
        <w:jc w:val="center"/>
        <w:outlineLvl w:val="1"/>
        <w:rPr>
          <w:rFonts w:ascii="宋体" w:hAnsi="宋体" w:eastAsia="宋体"/>
          <w:b/>
          <w:color w:val="auto"/>
          <w:sz w:val="24"/>
          <w:highlight w:val="none"/>
        </w:rPr>
      </w:pPr>
      <w:bookmarkStart w:id="200" w:name="_Toc28960"/>
      <w:bookmarkStart w:id="201" w:name="_Toc5555"/>
      <w:r>
        <w:rPr>
          <w:rFonts w:hint="eastAsia" w:ascii="宋体" w:hAnsi="宋体" w:eastAsia="宋体"/>
          <w:b/>
          <w:color w:val="auto"/>
          <w:sz w:val="24"/>
          <w:highlight w:val="none"/>
          <w:lang w:val="en-US" w:eastAsia="zh-CN"/>
        </w:rPr>
        <w:t>五</w:t>
      </w:r>
      <w:r>
        <w:rPr>
          <w:rFonts w:hint="eastAsia" w:ascii="宋体" w:hAnsi="宋体" w:eastAsia="宋体"/>
          <w:b/>
          <w:color w:val="auto"/>
          <w:sz w:val="24"/>
          <w:highlight w:val="none"/>
        </w:rPr>
        <w:t>、开标一览表</w:t>
      </w:r>
      <w:bookmarkEnd w:id="200"/>
      <w:bookmarkEnd w:id="201"/>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268"/>
      </w:tblGrid>
      <w:tr w14:paraId="0C2D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4899997F">
            <w:pPr>
              <w:widowControl/>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567A5556">
            <w:pPr>
              <w:spacing w:line="360" w:lineRule="exact"/>
              <w:jc w:val="center"/>
              <w:rPr>
                <w:rFonts w:ascii="宋体" w:hAnsi="宋体" w:eastAsia="宋体"/>
                <w:bCs/>
                <w:color w:val="auto"/>
                <w:sz w:val="24"/>
                <w:highlight w:val="none"/>
                <w:u w:val="single"/>
              </w:rPr>
            </w:pPr>
          </w:p>
        </w:tc>
      </w:tr>
      <w:tr w14:paraId="7135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1A0DE53">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3123539F">
            <w:pPr>
              <w:spacing w:line="360" w:lineRule="auto"/>
              <w:rPr>
                <w:rFonts w:ascii="宋体" w:hAnsi="宋体" w:eastAsia="宋体"/>
                <w:color w:val="auto"/>
                <w:sz w:val="24"/>
                <w:highlight w:val="none"/>
              </w:rPr>
            </w:pPr>
          </w:p>
        </w:tc>
      </w:tr>
      <w:tr w14:paraId="6C3C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4850723">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00988779">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eastAsia="宋体"/>
                <w:color w:val="auto"/>
                <w:sz w:val="24"/>
                <w:highlight w:val="none"/>
              </w:rPr>
            </w:pPr>
            <w:r>
              <w:rPr>
                <w:rFonts w:hint="eastAsia" w:ascii="宋体" w:hAnsi="宋体" w:eastAsia="宋体"/>
                <w:color w:val="auto"/>
                <w:sz w:val="24"/>
                <w:szCs w:val="28"/>
                <w:highlight w:val="none"/>
              </w:rPr>
              <w:t>全部/第</w:t>
            </w:r>
            <w:r>
              <w:rPr>
                <w:rFonts w:hint="eastAsia" w:ascii="宋体" w:hAnsi="宋体" w:eastAsia="宋体"/>
                <w:color w:val="auto"/>
                <w:sz w:val="24"/>
                <w:szCs w:val="28"/>
                <w:highlight w:val="none"/>
                <w:u w:val="single"/>
              </w:rPr>
              <w:t xml:space="preserve">   </w:t>
            </w:r>
            <w:r>
              <w:rPr>
                <w:rFonts w:hint="eastAsia" w:ascii="宋体" w:hAnsi="宋体" w:eastAsia="宋体"/>
                <w:color w:val="auto"/>
                <w:sz w:val="24"/>
                <w:szCs w:val="28"/>
                <w:highlight w:val="none"/>
              </w:rPr>
              <w:t>包</w:t>
            </w:r>
          </w:p>
        </w:tc>
      </w:tr>
      <w:tr w14:paraId="4945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1352" w:type="pct"/>
            <w:tcBorders>
              <w:top w:val="nil"/>
            </w:tcBorders>
            <w:vAlign w:val="center"/>
          </w:tcPr>
          <w:p w14:paraId="13DCC727">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1AF4A18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rPr>
            </w:pPr>
          </w:p>
          <w:p w14:paraId="4E60FCC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6FB507A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p>
          <w:p w14:paraId="1DFDDE32">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1234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221437EC">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5FF4901C">
            <w:pPr>
              <w:spacing w:line="360" w:lineRule="auto"/>
              <w:jc w:val="left"/>
              <w:rPr>
                <w:rFonts w:ascii="宋体" w:hAnsi="宋体" w:eastAsia="宋体"/>
                <w:color w:val="auto"/>
                <w:sz w:val="24"/>
                <w:szCs w:val="28"/>
                <w:highlight w:val="none"/>
              </w:rPr>
            </w:pPr>
          </w:p>
        </w:tc>
      </w:tr>
    </w:tbl>
    <w:p w14:paraId="39AD3A2A">
      <w:pPr>
        <w:spacing w:line="360" w:lineRule="auto"/>
        <w:ind w:firstLine="4320" w:firstLineChars="1800"/>
        <w:jc w:val="center"/>
        <w:rPr>
          <w:rFonts w:ascii="宋体" w:hAnsi="宋体" w:eastAsia="宋体"/>
          <w:bCs/>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0E29A777">
      <w:pPr>
        <w:spacing w:line="360" w:lineRule="auto"/>
        <w:ind w:firstLine="4320" w:firstLineChars="1800"/>
        <w:jc w:val="center"/>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3BB46F12">
      <w:pP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p>
    <w:p w14:paraId="33FD55DC">
      <w:pPr>
        <w:spacing w:line="360" w:lineRule="auto"/>
        <w:ind w:firstLine="360" w:firstLineChars="150"/>
        <w:rPr>
          <w:rFonts w:ascii="宋体" w:hAnsi="宋体" w:eastAsia="宋体"/>
          <w:color w:val="auto"/>
          <w:sz w:val="24"/>
          <w:highlight w:val="none"/>
        </w:rPr>
      </w:pPr>
    </w:p>
    <w:p w14:paraId="0C937110">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4BD136F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5674086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55EEFD9E">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r>
        <w:rPr>
          <w:rFonts w:ascii="宋体" w:hAnsi="宋体" w:eastAsia="宋体"/>
          <w:color w:val="auto"/>
          <w:sz w:val="24"/>
          <w:highlight w:val="none"/>
        </w:rPr>
        <w:br w:type="page"/>
      </w:r>
    </w:p>
    <w:p w14:paraId="7F9424AE">
      <w:pPr>
        <w:spacing w:line="360" w:lineRule="auto"/>
        <w:jc w:val="center"/>
        <w:outlineLvl w:val="1"/>
        <w:rPr>
          <w:rFonts w:ascii="宋体" w:hAnsi="宋体" w:eastAsia="宋体"/>
          <w:b/>
          <w:color w:val="auto"/>
          <w:sz w:val="24"/>
          <w:highlight w:val="none"/>
        </w:rPr>
      </w:pPr>
      <w:bookmarkStart w:id="202" w:name="_Toc6441"/>
      <w:bookmarkStart w:id="203" w:name="_Toc18010"/>
      <w:r>
        <w:rPr>
          <w:rFonts w:hint="eastAsia" w:ascii="宋体" w:hAnsi="宋体" w:eastAsia="宋体"/>
          <w:b/>
          <w:color w:val="auto"/>
          <w:sz w:val="24"/>
          <w:highlight w:val="none"/>
          <w:lang w:val="en-US" w:eastAsia="zh-CN"/>
        </w:rPr>
        <w:t>六</w:t>
      </w:r>
      <w:r>
        <w:rPr>
          <w:rFonts w:hint="eastAsia" w:ascii="宋体" w:hAnsi="宋体" w:eastAsia="宋体"/>
          <w:b/>
          <w:color w:val="auto"/>
          <w:sz w:val="24"/>
          <w:highlight w:val="none"/>
        </w:rPr>
        <w:t>、投标函</w:t>
      </w:r>
      <w:bookmarkEnd w:id="202"/>
      <w:bookmarkEnd w:id="203"/>
    </w:p>
    <w:p w14:paraId="5CB88AB1">
      <w:pPr>
        <w:pStyle w:val="15"/>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0A0C59C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057AC1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0ABDF81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098BEAC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767EE64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665519A7">
      <w:pPr>
        <w:spacing w:line="360" w:lineRule="auto"/>
        <w:ind w:firstLine="4800" w:firstLineChars="2000"/>
        <w:rPr>
          <w:rFonts w:ascii="宋体" w:hAnsi="宋体" w:eastAsia="宋体"/>
          <w:color w:val="auto"/>
          <w:sz w:val="24"/>
          <w:highlight w:val="none"/>
        </w:rPr>
      </w:pPr>
    </w:p>
    <w:p w14:paraId="3C293CF0">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7667118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D5E937E">
      <w:pPr>
        <w:spacing w:line="360" w:lineRule="auto"/>
        <w:jc w:val="center"/>
        <w:outlineLvl w:val="0"/>
        <w:rPr>
          <w:rFonts w:hint="eastAsia" w:ascii="宋体" w:hAnsi="宋体" w:eastAsia="宋体"/>
          <w:b/>
          <w:color w:val="auto"/>
          <w:sz w:val="28"/>
          <w:highlight w:val="none"/>
        </w:rPr>
      </w:pPr>
    </w:p>
    <w:p w14:paraId="7FABD79C">
      <w:pPr>
        <w:spacing w:line="360" w:lineRule="auto"/>
        <w:jc w:val="center"/>
        <w:outlineLvl w:val="0"/>
        <w:rPr>
          <w:rFonts w:hint="eastAsia" w:ascii="宋体" w:hAnsi="宋体" w:eastAsia="宋体"/>
          <w:b/>
          <w:color w:val="auto"/>
          <w:sz w:val="28"/>
          <w:highlight w:val="none"/>
        </w:rPr>
      </w:pPr>
    </w:p>
    <w:p w14:paraId="621B3F03">
      <w:pPr>
        <w:spacing w:line="360" w:lineRule="auto"/>
        <w:jc w:val="center"/>
        <w:outlineLvl w:val="0"/>
        <w:rPr>
          <w:rFonts w:hint="eastAsia" w:ascii="宋体" w:hAnsi="宋体" w:eastAsia="宋体"/>
          <w:b/>
          <w:color w:val="auto"/>
          <w:sz w:val="28"/>
          <w:highlight w:val="none"/>
        </w:rPr>
      </w:pPr>
    </w:p>
    <w:p w14:paraId="28E6469F">
      <w:pPr>
        <w:spacing w:line="360" w:lineRule="auto"/>
        <w:jc w:val="center"/>
        <w:outlineLvl w:val="0"/>
        <w:rPr>
          <w:rFonts w:hint="eastAsia" w:ascii="宋体" w:hAnsi="宋体" w:eastAsia="宋体"/>
          <w:b/>
          <w:color w:val="auto"/>
          <w:sz w:val="28"/>
          <w:highlight w:val="none"/>
        </w:rPr>
      </w:pPr>
    </w:p>
    <w:p w14:paraId="79808C42">
      <w:pPr>
        <w:spacing w:line="360" w:lineRule="auto"/>
        <w:jc w:val="center"/>
        <w:outlineLvl w:val="1"/>
        <w:rPr>
          <w:rFonts w:hint="eastAsia" w:ascii="宋体" w:hAnsi="宋体" w:eastAsia="宋体" w:cs="宋体"/>
          <w:b/>
          <w:color w:val="auto"/>
          <w:sz w:val="24"/>
          <w:highlight w:val="none"/>
          <w:lang w:val="en-US" w:eastAsia="zh-CN"/>
        </w:rPr>
      </w:pPr>
      <w:bookmarkStart w:id="204" w:name="_Toc32534"/>
      <w:bookmarkStart w:id="205" w:name="_Hlk11701496"/>
    </w:p>
    <w:bookmarkEnd w:id="204"/>
    <w:bookmarkEnd w:id="205"/>
    <w:p w14:paraId="57C477CC">
      <w:pPr>
        <w:spacing w:line="360" w:lineRule="auto"/>
        <w:jc w:val="both"/>
        <w:outlineLvl w:val="1"/>
        <w:rPr>
          <w:rFonts w:hint="eastAsia" w:ascii="宋体" w:hAnsi="宋体" w:eastAsia="宋体" w:cs="宋体"/>
          <w:b/>
          <w:color w:val="auto"/>
          <w:sz w:val="24"/>
          <w:highlight w:val="none"/>
          <w:lang w:val="en-US" w:eastAsia="zh-CN"/>
        </w:rPr>
      </w:pPr>
      <w:bookmarkStart w:id="206" w:name="_Toc32633"/>
      <w:bookmarkStart w:id="207" w:name="_Toc31807"/>
      <w:r>
        <w:rPr>
          <w:rFonts w:hint="eastAsia" w:ascii="宋体" w:hAnsi="宋体" w:eastAsia="宋体" w:cs="宋体"/>
          <w:b/>
          <w:color w:val="auto"/>
          <w:sz w:val="24"/>
          <w:highlight w:val="none"/>
          <w:lang w:val="en-US" w:eastAsia="zh-CN"/>
        </w:rPr>
        <w:t>其他相关证明材料</w:t>
      </w:r>
      <w:bookmarkEnd w:id="206"/>
      <w:bookmarkEnd w:id="207"/>
    </w:p>
    <w:p w14:paraId="23FB95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提供符合投标邀请、采购需求及评标方法和标准规定的相关证明文件。</w:t>
      </w:r>
    </w:p>
    <w:p w14:paraId="54EEAF05">
      <w:pPr>
        <w:spacing w:line="360" w:lineRule="auto"/>
        <w:ind w:firstLine="480" w:firstLineChars="200"/>
        <w:rPr>
          <w:rFonts w:hint="eastAsia" w:ascii="宋体" w:hAnsi="宋体" w:eastAsia="宋体" w:cs="宋体"/>
          <w:color w:val="auto"/>
          <w:sz w:val="24"/>
          <w:highlight w:val="none"/>
        </w:rPr>
      </w:pPr>
    </w:p>
    <w:p w14:paraId="16228A74">
      <w:pPr>
        <w:spacing w:line="360" w:lineRule="auto"/>
        <w:jc w:val="center"/>
        <w:outlineLvl w:val="0"/>
        <w:rPr>
          <w:rFonts w:hint="eastAsia" w:ascii="宋体" w:hAnsi="宋体" w:eastAsia="宋体" w:cs="宋体"/>
          <w:b/>
          <w:color w:val="auto"/>
          <w:sz w:val="28"/>
          <w:highlight w:val="none"/>
        </w:rPr>
      </w:pPr>
      <w:bookmarkStart w:id="208" w:name="_Toc20819"/>
      <w:bookmarkStart w:id="209" w:name="_Toc6435"/>
    </w:p>
    <w:p w14:paraId="63DC46B1">
      <w:pPr>
        <w:spacing w:line="360" w:lineRule="auto"/>
        <w:jc w:val="center"/>
        <w:outlineLvl w:val="1"/>
        <w:rPr>
          <w:rFonts w:hint="eastAsia" w:asciiTheme="minorEastAsia" w:hAnsiTheme="minorEastAsia" w:eastAsiaTheme="minorEastAsia"/>
          <w:b/>
          <w:color w:val="auto"/>
          <w:sz w:val="24"/>
          <w:highlight w:val="none"/>
        </w:rPr>
      </w:pPr>
      <w:bookmarkStart w:id="210" w:name="_Toc15209"/>
    </w:p>
    <w:p w14:paraId="724D82C0">
      <w:pPr>
        <w:spacing w:line="360" w:lineRule="auto"/>
        <w:jc w:val="center"/>
        <w:outlineLvl w:val="1"/>
        <w:rPr>
          <w:rFonts w:hint="eastAsia" w:asciiTheme="minorEastAsia" w:hAnsiTheme="minorEastAsia" w:eastAsiaTheme="minorEastAsia"/>
          <w:b/>
          <w:color w:val="auto"/>
          <w:sz w:val="24"/>
          <w:highlight w:val="none"/>
        </w:rPr>
      </w:pPr>
    </w:p>
    <w:p w14:paraId="26C1573A">
      <w:pPr>
        <w:spacing w:line="360" w:lineRule="auto"/>
        <w:jc w:val="center"/>
        <w:outlineLvl w:val="1"/>
        <w:rPr>
          <w:rFonts w:hint="eastAsia" w:asciiTheme="minorEastAsia" w:hAnsiTheme="minorEastAsia" w:eastAsiaTheme="minorEastAsia"/>
          <w:b/>
          <w:color w:val="auto"/>
          <w:sz w:val="24"/>
          <w:highlight w:val="none"/>
        </w:rPr>
      </w:pPr>
    </w:p>
    <w:p w14:paraId="68F1021C">
      <w:pPr>
        <w:spacing w:line="360" w:lineRule="auto"/>
        <w:jc w:val="center"/>
        <w:outlineLvl w:val="1"/>
        <w:rPr>
          <w:rFonts w:hint="eastAsia" w:asciiTheme="minorEastAsia" w:hAnsiTheme="minorEastAsia" w:eastAsiaTheme="minorEastAsia"/>
          <w:b/>
          <w:color w:val="auto"/>
          <w:sz w:val="24"/>
          <w:highlight w:val="none"/>
        </w:rPr>
      </w:pPr>
    </w:p>
    <w:p w14:paraId="4007B801">
      <w:pPr>
        <w:spacing w:line="360" w:lineRule="auto"/>
        <w:jc w:val="center"/>
        <w:outlineLvl w:val="1"/>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、投标响应表</w:t>
      </w:r>
      <w:bookmarkEnd w:id="210"/>
    </w:p>
    <w:p w14:paraId="5571A9A1">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240"/>
        <w:gridCol w:w="2920"/>
        <w:gridCol w:w="3010"/>
        <w:gridCol w:w="947"/>
      </w:tblGrid>
      <w:tr w14:paraId="5BCE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57FF6C4">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7DF88C7D">
            <w:pPr>
              <w:pStyle w:val="14"/>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19FC8EEE">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1510" w:type="pct"/>
            <w:vAlign w:val="center"/>
          </w:tcPr>
          <w:p w14:paraId="17C5531B">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475" w:type="pct"/>
            <w:vAlign w:val="center"/>
          </w:tcPr>
          <w:p w14:paraId="1A7246A9">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7EF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CEEC7A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437F93EF">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18EB4A76">
            <w:pPr>
              <w:jc w:val="center"/>
              <w:rPr>
                <w:rFonts w:asciiTheme="minorEastAsia" w:hAnsiTheme="minorEastAsia" w:eastAsiaTheme="minorEastAsia"/>
                <w:color w:val="auto"/>
                <w:sz w:val="24"/>
                <w:highlight w:val="none"/>
              </w:rPr>
            </w:pPr>
          </w:p>
        </w:tc>
        <w:tc>
          <w:tcPr>
            <w:tcW w:w="1510" w:type="pct"/>
            <w:vAlign w:val="center"/>
          </w:tcPr>
          <w:p w14:paraId="2752BF3E">
            <w:pPr>
              <w:jc w:val="center"/>
              <w:rPr>
                <w:rFonts w:asciiTheme="minorEastAsia" w:hAnsiTheme="minorEastAsia" w:eastAsiaTheme="minorEastAsia"/>
                <w:color w:val="auto"/>
                <w:sz w:val="24"/>
                <w:highlight w:val="none"/>
              </w:rPr>
            </w:pPr>
          </w:p>
        </w:tc>
        <w:tc>
          <w:tcPr>
            <w:tcW w:w="475" w:type="pct"/>
            <w:vAlign w:val="center"/>
          </w:tcPr>
          <w:p w14:paraId="70B043A8">
            <w:pPr>
              <w:jc w:val="center"/>
              <w:rPr>
                <w:rFonts w:asciiTheme="minorEastAsia" w:hAnsiTheme="minorEastAsia" w:eastAsiaTheme="minorEastAsia"/>
                <w:color w:val="auto"/>
                <w:sz w:val="24"/>
                <w:highlight w:val="none"/>
              </w:rPr>
            </w:pPr>
          </w:p>
        </w:tc>
      </w:tr>
      <w:tr w14:paraId="6164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40924C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5516E48B">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54AB4992">
            <w:pPr>
              <w:jc w:val="center"/>
              <w:rPr>
                <w:rFonts w:asciiTheme="minorEastAsia" w:hAnsiTheme="minorEastAsia" w:eastAsiaTheme="minorEastAsia"/>
                <w:color w:val="auto"/>
                <w:sz w:val="24"/>
                <w:highlight w:val="none"/>
              </w:rPr>
            </w:pPr>
          </w:p>
        </w:tc>
        <w:tc>
          <w:tcPr>
            <w:tcW w:w="1510" w:type="pct"/>
            <w:vAlign w:val="center"/>
          </w:tcPr>
          <w:p w14:paraId="17D48375">
            <w:pPr>
              <w:jc w:val="center"/>
              <w:rPr>
                <w:rFonts w:asciiTheme="minorEastAsia" w:hAnsiTheme="minorEastAsia" w:eastAsiaTheme="minorEastAsia"/>
                <w:color w:val="auto"/>
                <w:sz w:val="24"/>
                <w:highlight w:val="none"/>
              </w:rPr>
            </w:pPr>
          </w:p>
        </w:tc>
        <w:tc>
          <w:tcPr>
            <w:tcW w:w="475" w:type="pct"/>
            <w:vAlign w:val="center"/>
          </w:tcPr>
          <w:p w14:paraId="24F6C150">
            <w:pPr>
              <w:jc w:val="center"/>
              <w:rPr>
                <w:rFonts w:asciiTheme="minorEastAsia" w:hAnsiTheme="minorEastAsia" w:eastAsiaTheme="minorEastAsia"/>
                <w:color w:val="auto"/>
                <w:sz w:val="24"/>
                <w:highlight w:val="none"/>
              </w:rPr>
            </w:pPr>
          </w:p>
        </w:tc>
      </w:tr>
      <w:tr w14:paraId="77DB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4C02DE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71CBA260">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7A2E08A0">
            <w:pPr>
              <w:jc w:val="center"/>
              <w:rPr>
                <w:rFonts w:asciiTheme="minorEastAsia" w:hAnsiTheme="minorEastAsia" w:eastAsiaTheme="minorEastAsia"/>
                <w:color w:val="auto"/>
                <w:sz w:val="24"/>
                <w:highlight w:val="none"/>
              </w:rPr>
            </w:pPr>
          </w:p>
        </w:tc>
        <w:tc>
          <w:tcPr>
            <w:tcW w:w="1510" w:type="pct"/>
            <w:vAlign w:val="center"/>
          </w:tcPr>
          <w:p w14:paraId="79205187">
            <w:pPr>
              <w:pStyle w:val="50"/>
              <w:jc w:val="center"/>
              <w:rPr>
                <w:rFonts w:asciiTheme="minorEastAsia" w:hAnsiTheme="minorEastAsia" w:eastAsiaTheme="minorEastAsia"/>
                <w:color w:val="auto"/>
                <w:highlight w:val="none"/>
              </w:rPr>
            </w:pPr>
          </w:p>
        </w:tc>
        <w:tc>
          <w:tcPr>
            <w:tcW w:w="475" w:type="pct"/>
            <w:vAlign w:val="center"/>
          </w:tcPr>
          <w:p w14:paraId="6062BAFA">
            <w:pPr>
              <w:jc w:val="center"/>
              <w:rPr>
                <w:rFonts w:asciiTheme="minorEastAsia" w:hAnsiTheme="minorEastAsia" w:eastAsiaTheme="minorEastAsia"/>
                <w:color w:val="auto"/>
                <w:sz w:val="24"/>
                <w:highlight w:val="none"/>
              </w:rPr>
            </w:pPr>
          </w:p>
        </w:tc>
      </w:tr>
      <w:tr w14:paraId="4373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527010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51A70CA2">
            <w:pPr>
              <w:jc w:val="center"/>
              <w:rPr>
                <w:rFonts w:ascii="宋体" w:hAnsi="宋体" w:eastAsia="宋体"/>
                <w:color w:val="auto"/>
                <w:sz w:val="24"/>
                <w:highlight w:val="none"/>
              </w:rPr>
            </w:pPr>
          </w:p>
        </w:tc>
        <w:tc>
          <w:tcPr>
            <w:tcW w:w="1465" w:type="pct"/>
            <w:vAlign w:val="center"/>
          </w:tcPr>
          <w:p w14:paraId="6C33E6C2">
            <w:pPr>
              <w:jc w:val="center"/>
              <w:rPr>
                <w:rFonts w:asciiTheme="minorEastAsia" w:hAnsiTheme="minorEastAsia" w:eastAsiaTheme="minorEastAsia"/>
                <w:color w:val="auto"/>
                <w:sz w:val="24"/>
                <w:highlight w:val="none"/>
              </w:rPr>
            </w:pPr>
          </w:p>
        </w:tc>
        <w:tc>
          <w:tcPr>
            <w:tcW w:w="1510" w:type="pct"/>
            <w:vAlign w:val="center"/>
          </w:tcPr>
          <w:p w14:paraId="45A8FBF6">
            <w:pPr>
              <w:jc w:val="center"/>
              <w:rPr>
                <w:rFonts w:asciiTheme="minorEastAsia" w:hAnsiTheme="minorEastAsia" w:eastAsiaTheme="minorEastAsia"/>
                <w:color w:val="auto"/>
                <w:sz w:val="24"/>
                <w:highlight w:val="none"/>
              </w:rPr>
            </w:pPr>
          </w:p>
        </w:tc>
        <w:tc>
          <w:tcPr>
            <w:tcW w:w="475" w:type="pct"/>
            <w:vAlign w:val="center"/>
          </w:tcPr>
          <w:p w14:paraId="0884C705">
            <w:pPr>
              <w:jc w:val="center"/>
              <w:rPr>
                <w:rFonts w:asciiTheme="minorEastAsia" w:hAnsiTheme="minorEastAsia" w:eastAsiaTheme="minorEastAsia"/>
                <w:color w:val="auto"/>
                <w:sz w:val="24"/>
                <w:highlight w:val="none"/>
              </w:rPr>
            </w:pPr>
          </w:p>
        </w:tc>
      </w:tr>
    </w:tbl>
    <w:p w14:paraId="4006333F">
      <w:pPr>
        <w:spacing w:line="360" w:lineRule="auto"/>
        <w:jc w:val="center"/>
        <w:outlineLvl w:val="0"/>
        <w:rPr>
          <w:rFonts w:hint="eastAsia" w:ascii="宋体" w:hAnsi="宋体" w:eastAsia="宋体" w:cs="宋体"/>
          <w:b/>
          <w:color w:val="auto"/>
          <w:sz w:val="28"/>
          <w:highlight w:val="none"/>
        </w:rPr>
      </w:pPr>
    </w:p>
    <w:p w14:paraId="6E5AF1CE">
      <w:pPr>
        <w:spacing w:line="360" w:lineRule="auto"/>
        <w:jc w:val="center"/>
        <w:outlineLvl w:val="0"/>
        <w:rPr>
          <w:rFonts w:hint="eastAsia" w:ascii="宋体" w:hAnsi="宋体" w:eastAsia="宋体" w:cs="宋体"/>
          <w:b/>
          <w:color w:val="auto"/>
          <w:sz w:val="28"/>
          <w:highlight w:val="none"/>
        </w:rPr>
      </w:pPr>
    </w:p>
    <w:p w14:paraId="55DEA1B4">
      <w:pPr>
        <w:spacing w:line="360" w:lineRule="auto"/>
        <w:jc w:val="center"/>
        <w:outlineLvl w:val="0"/>
        <w:rPr>
          <w:rFonts w:hint="eastAsia" w:ascii="宋体" w:hAnsi="宋体" w:eastAsia="宋体" w:cs="宋体"/>
          <w:b/>
          <w:color w:val="auto"/>
          <w:sz w:val="28"/>
          <w:highlight w:val="none"/>
        </w:rPr>
      </w:pPr>
    </w:p>
    <w:p w14:paraId="5F59DFDE">
      <w:pPr>
        <w:pStyle w:val="2"/>
        <w:rPr>
          <w:rFonts w:hint="eastAsia" w:ascii="宋体" w:hAnsi="宋体" w:eastAsia="宋体" w:cs="宋体"/>
          <w:b/>
          <w:color w:val="auto"/>
          <w:sz w:val="28"/>
          <w:highlight w:val="none"/>
        </w:rPr>
      </w:pPr>
    </w:p>
    <w:p w14:paraId="091289AF">
      <w:pPr>
        <w:pStyle w:val="2"/>
        <w:rPr>
          <w:rFonts w:hint="eastAsia" w:ascii="宋体" w:hAnsi="宋体" w:eastAsia="宋体" w:cs="宋体"/>
          <w:b/>
          <w:color w:val="auto"/>
          <w:sz w:val="28"/>
          <w:highlight w:val="none"/>
        </w:rPr>
      </w:pPr>
    </w:p>
    <w:p w14:paraId="726B8335">
      <w:pPr>
        <w:pStyle w:val="2"/>
        <w:rPr>
          <w:rFonts w:hint="eastAsia" w:ascii="宋体" w:hAnsi="宋体" w:eastAsia="宋体" w:cs="宋体"/>
          <w:b/>
          <w:color w:val="auto"/>
          <w:sz w:val="28"/>
          <w:highlight w:val="none"/>
        </w:rPr>
      </w:pPr>
    </w:p>
    <w:p w14:paraId="2488C362">
      <w:pPr>
        <w:pStyle w:val="2"/>
        <w:rPr>
          <w:rFonts w:hint="eastAsia" w:ascii="宋体" w:hAnsi="宋体" w:eastAsia="宋体" w:cs="宋体"/>
          <w:b/>
          <w:color w:val="auto"/>
          <w:sz w:val="28"/>
          <w:highlight w:val="none"/>
        </w:rPr>
      </w:pPr>
    </w:p>
    <w:p w14:paraId="411BB805">
      <w:pPr>
        <w:pStyle w:val="2"/>
        <w:rPr>
          <w:rFonts w:hint="eastAsia" w:ascii="宋体" w:hAnsi="宋体" w:eastAsia="宋体" w:cs="宋体"/>
          <w:b/>
          <w:color w:val="auto"/>
          <w:sz w:val="28"/>
          <w:highlight w:val="none"/>
        </w:rPr>
      </w:pPr>
    </w:p>
    <w:p w14:paraId="626489D2">
      <w:pPr>
        <w:pStyle w:val="2"/>
        <w:rPr>
          <w:rFonts w:hint="eastAsia" w:ascii="宋体" w:hAnsi="宋体" w:eastAsia="宋体" w:cs="宋体"/>
          <w:b/>
          <w:color w:val="auto"/>
          <w:sz w:val="28"/>
          <w:highlight w:val="none"/>
        </w:rPr>
      </w:pPr>
    </w:p>
    <w:p w14:paraId="4E1EBF3D">
      <w:pPr>
        <w:pStyle w:val="2"/>
        <w:rPr>
          <w:rFonts w:hint="eastAsia" w:ascii="宋体" w:hAnsi="宋体" w:eastAsia="宋体" w:cs="宋体"/>
          <w:b/>
          <w:color w:val="auto"/>
          <w:sz w:val="28"/>
          <w:highlight w:val="none"/>
        </w:rPr>
      </w:pPr>
    </w:p>
    <w:p w14:paraId="468B11B9">
      <w:pPr>
        <w:pStyle w:val="2"/>
        <w:rPr>
          <w:rFonts w:hint="eastAsia" w:ascii="宋体" w:hAnsi="宋体" w:eastAsia="宋体" w:cs="宋体"/>
          <w:b/>
          <w:color w:val="auto"/>
          <w:sz w:val="28"/>
          <w:highlight w:val="none"/>
        </w:rPr>
      </w:pPr>
    </w:p>
    <w:p w14:paraId="2A0352C7">
      <w:pPr>
        <w:pStyle w:val="2"/>
        <w:rPr>
          <w:rFonts w:hint="eastAsia" w:ascii="宋体" w:hAnsi="宋体" w:eastAsia="宋体" w:cs="宋体"/>
          <w:b/>
          <w:color w:val="auto"/>
          <w:sz w:val="28"/>
          <w:highlight w:val="none"/>
        </w:rPr>
      </w:pPr>
    </w:p>
    <w:p w14:paraId="7B05A1FA">
      <w:pPr>
        <w:pStyle w:val="2"/>
        <w:rPr>
          <w:rFonts w:hint="eastAsia" w:ascii="宋体" w:hAnsi="宋体" w:eastAsia="宋体" w:cs="宋体"/>
          <w:b/>
          <w:color w:val="auto"/>
          <w:sz w:val="28"/>
          <w:highlight w:val="none"/>
        </w:rPr>
      </w:pPr>
    </w:p>
    <w:p w14:paraId="34A7729F">
      <w:pPr>
        <w:pStyle w:val="2"/>
        <w:ind w:left="0" w:leftChars="0" w:firstLine="0" w:firstLineChars="0"/>
        <w:rPr>
          <w:rFonts w:hint="eastAsia" w:ascii="宋体" w:hAnsi="宋体" w:eastAsia="宋体" w:cs="宋体"/>
          <w:b/>
          <w:color w:val="auto"/>
          <w:sz w:val="28"/>
          <w:highlight w:val="none"/>
        </w:rPr>
      </w:pPr>
    </w:p>
    <w:p w14:paraId="1AC4EB78">
      <w:pPr>
        <w:spacing w:line="360" w:lineRule="auto"/>
        <w:jc w:val="center"/>
        <w:outlineLvl w:val="0"/>
        <w:rPr>
          <w:rFonts w:hint="eastAsia" w:ascii="宋体" w:hAnsi="宋体" w:eastAsia="宋体" w:cs="宋体"/>
          <w:b/>
          <w:bCs/>
          <w:color w:val="auto"/>
          <w:sz w:val="28"/>
          <w:highlight w:val="none"/>
        </w:rPr>
      </w:pPr>
      <w:r>
        <w:rPr>
          <w:rFonts w:hint="eastAsia" w:ascii="宋体" w:hAnsi="宋体" w:eastAsia="宋体" w:cs="宋体"/>
          <w:b/>
          <w:color w:val="auto"/>
          <w:sz w:val="28"/>
          <w:highlight w:val="none"/>
        </w:rPr>
        <w:t>第</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208"/>
      <w:bookmarkEnd w:id="209"/>
    </w:p>
    <w:p w14:paraId="1985D60A">
      <w:pPr>
        <w:spacing w:line="360" w:lineRule="auto"/>
        <w:jc w:val="center"/>
        <w:outlineLvl w:val="1"/>
        <w:rPr>
          <w:rFonts w:hint="eastAsia" w:ascii="宋体" w:hAnsi="宋体" w:eastAsia="宋体" w:cs="宋体"/>
          <w:b/>
          <w:bCs/>
          <w:color w:val="auto"/>
          <w:sz w:val="32"/>
          <w:szCs w:val="44"/>
          <w:highlight w:val="none"/>
        </w:rPr>
      </w:pPr>
      <w:bookmarkStart w:id="211" w:name="_Toc6955"/>
      <w:bookmarkStart w:id="212" w:name="_Toc27159"/>
      <w:r>
        <w:rPr>
          <w:rFonts w:hint="eastAsia" w:ascii="宋体" w:hAnsi="宋体" w:eastAsia="宋体" w:cs="宋体"/>
          <w:b/>
          <w:bCs/>
          <w:color w:val="auto"/>
          <w:sz w:val="32"/>
          <w:szCs w:val="44"/>
          <w:highlight w:val="none"/>
        </w:rPr>
        <w:t>询问函范本</w:t>
      </w:r>
      <w:bookmarkEnd w:id="211"/>
      <w:bookmarkEnd w:id="212"/>
    </w:p>
    <w:p w14:paraId="024273DB">
      <w:pPr>
        <w:adjustRightInd w:val="0"/>
        <w:snapToGrid w:val="0"/>
        <w:spacing w:line="360" w:lineRule="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en-US" w:eastAsia="zh-CN"/>
        </w:rPr>
        <w:t>致：</w:t>
      </w:r>
      <w:r>
        <w:rPr>
          <w:rFonts w:hint="eastAsia" w:ascii="宋体" w:hAnsi="宋体" w:eastAsia="宋体" w:cs="宋体"/>
          <w:b/>
          <w:bCs/>
          <w:color w:val="auto"/>
          <w:sz w:val="24"/>
          <w:szCs w:val="24"/>
          <w:highlight w:val="none"/>
          <w:u w:val="none"/>
          <w:lang w:eastAsia="zh-CN"/>
        </w:rPr>
        <w:t>采购人</w:t>
      </w:r>
    </w:p>
    <w:p w14:paraId="3FA0EF9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i/>
          <w:iCs/>
          <w:color w:val="auto"/>
          <w:sz w:val="24"/>
          <w:szCs w:val="24"/>
          <w:u w:val="none"/>
          <w:lang w:val="en-US" w:eastAsia="zh-CN"/>
        </w:rPr>
        <w:t>项目名称、编号</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highlight w:val="none"/>
        </w:rPr>
        <w:t>的采购活动，现有以下内容(或条款)存在疑问(或无法理解)，特提出询问。</w:t>
      </w:r>
    </w:p>
    <w:p w14:paraId="509E3562">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213" w:name="_Toc13899"/>
      <w:r>
        <w:rPr>
          <w:rFonts w:hint="eastAsia" w:ascii="宋体" w:hAnsi="宋体" w:eastAsia="宋体" w:cs="宋体"/>
          <w:color w:val="auto"/>
          <w:sz w:val="24"/>
          <w:szCs w:val="24"/>
          <w:highlight w:val="none"/>
        </w:rPr>
        <w:t>一、(事项一)</w:t>
      </w:r>
      <w:bookmarkEnd w:id="213"/>
    </w:p>
    <w:p w14:paraId="22681E3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2FD3413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4AF3872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29EF1531">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214" w:name="_Toc3352"/>
      <w:r>
        <w:rPr>
          <w:rFonts w:hint="eastAsia" w:ascii="宋体" w:hAnsi="宋体" w:eastAsia="宋体" w:cs="宋体"/>
          <w:color w:val="auto"/>
          <w:sz w:val="24"/>
          <w:szCs w:val="24"/>
          <w:highlight w:val="none"/>
        </w:rPr>
        <w:t>二、(事项二)</w:t>
      </w:r>
      <w:bookmarkEnd w:id="214"/>
    </w:p>
    <w:p w14:paraId="5476F55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069017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09DC7A6A">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5C3399B6">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16964535">
      <w:pPr>
        <w:tabs>
          <w:tab w:val="left" w:pos="630"/>
        </w:tabs>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E7CF12B">
      <w:pPr>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6AEEF3DE">
      <w:pPr>
        <w:jc w:val="center"/>
        <w:outlineLvl w:val="1"/>
        <w:rPr>
          <w:rFonts w:hint="eastAsia" w:ascii="宋体" w:hAnsi="宋体" w:eastAsia="宋体" w:cs="宋体"/>
          <w:b/>
          <w:bCs/>
          <w:color w:val="auto"/>
          <w:sz w:val="32"/>
          <w:szCs w:val="44"/>
          <w:highlight w:val="none"/>
        </w:rPr>
      </w:pPr>
      <w:bookmarkStart w:id="215" w:name="_Toc1575"/>
      <w:bookmarkStart w:id="216" w:name="_Toc857"/>
      <w:r>
        <w:rPr>
          <w:rFonts w:hint="eastAsia" w:ascii="宋体" w:hAnsi="宋体" w:eastAsia="宋体" w:cs="宋体"/>
          <w:b/>
          <w:bCs/>
          <w:color w:val="auto"/>
          <w:sz w:val="32"/>
          <w:szCs w:val="44"/>
          <w:highlight w:val="none"/>
        </w:rPr>
        <w:t>质疑函范本</w:t>
      </w:r>
      <w:bookmarkEnd w:id="215"/>
      <w:bookmarkEnd w:id="216"/>
    </w:p>
    <w:p w14:paraId="7FD5759D">
      <w:pPr>
        <w:adjustRightInd w:val="0"/>
        <w:snapToGrid w:val="0"/>
        <w:spacing w:before="312" w:beforeLines="100" w:line="360" w:lineRule="auto"/>
        <w:outlineLvl w:val="9"/>
        <w:rPr>
          <w:rFonts w:hint="eastAsia" w:ascii="宋体" w:hAnsi="宋体" w:eastAsia="宋体" w:cs="宋体"/>
          <w:b/>
          <w:bCs/>
          <w:color w:val="auto"/>
          <w:sz w:val="24"/>
          <w:szCs w:val="24"/>
          <w:highlight w:val="none"/>
        </w:rPr>
      </w:pPr>
      <w:bookmarkStart w:id="217" w:name="_Toc21381"/>
      <w:r>
        <w:rPr>
          <w:rFonts w:hint="eastAsia" w:ascii="宋体" w:hAnsi="宋体" w:eastAsia="宋体" w:cs="宋体"/>
          <w:b/>
          <w:bCs/>
          <w:color w:val="auto"/>
          <w:sz w:val="24"/>
          <w:szCs w:val="24"/>
          <w:highlight w:val="none"/>
        </w:rPr>
        <w:t>一、质疑供应商基本信息</w:t>
      </w:r>
      <w:bookmarkEnd w:id="217"/>
    </w:p>
    <w:p w14:paraId="18BC2CF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5BD7682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76D0BA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0E2616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789175B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5AAAF0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F4AD554">
      <w:pPr>
        <w:adjustRightInd w:val="0"/>
        <w:snapToGrid w:val="0"/>
        <w:spacing w:line="360" w:lineRule="auto"/>
        <w:outlineLvl w:val="9"/>
        <w:rPr>
          <w:rFonts w:hint="eastAsia" w:ascii="宋体" w:hAnsi="宋体" w:eastAsia="宋体" w:cs="宋体"/>
          <w:b/>
          <w:bCs/>
          <w:color w:val="auto"/>
          <w:sz w:val="24"/>
          <w:szCs w:val="24"/>
          <w:highlight w:val="none"/>
        </w:rPr>
      </w:pPr>
      <w:bookmarkStart w:id="218" w:name="_Toc28415"/>
      <w:r>
        <w:rPr>
          <w:rFonts w:hint="eastAsia" w:ascii="宋体" w:hAnsi="宋体" w:eastAsia="宋体" w:cs="宋体"/>
          <w:b/>
          <w:bCs/>
          <w:color w:val="auto"/>
          <w:sz w:val="24"/>
          <w:szCs w:val="24"/>
          <w:highlight w:val="none"/>
        </w:rPr>
        <w:t>二、质疑项目基本情况</w:t>
      </w:r>
      <w:bookmarkEnd w:id="218"/>
    </w:p>
    <w:p w14:paraId="56BA317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588F6B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448B19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9A59B3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28EF19DF">
      <w:pPr>
        <w:adjustRightInd w:val="0"/>
        <w:snapToGrid w:val="0"/>
        <w:spacing w:line="360" w:lineRule="auto"/>
        <w:outlineLvl w:val="9"/>
        <w:rPr>
          <w:rFonts w:hint="eastAsia" w:ascii="宋体" w:hAnsi="宋体" w:eastAsia="宋体" w:cs="宋体"/>
          <w:b/>
          <w:bCs/>
          <w:color w:val="auto"/>
          <w:sz w:val="24"/>
          <w:szCs w:val="24"/>
          <w:highlight w:val="none"/>
        </w:rPr>
      </w:pPr>
      <w:bookmarkStart w:id="219" w:name="_Toc19014"/>
      <w:r>
        <w:rPr>
          <w:rFonts w:hint="eastAsia" w:ascii="宋体" w:hAnsi="宋体" w:eastAsia="宋体" w:cs="宋体"/>
          <w:b/>
          <w:bCs/>
          <w:color w:val="auto"/>
          <w:sz w:val="24"/>
          <w:szCs w:val="24"/>
          <w:highlight w:val="none"/>
        </w:rPr>
        <w:t>三、质疑事项具体内容</w:t>
      </w:r>
      <w:bookmarkEnd w:id="219"/>
    </w:p>
    <w:p w14:paraId="0738833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414AB08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5EE65DF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78264DA8">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3B0F55C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376DD28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C423AF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B3751BE">
      <w:pPr>
        <w:adjustRightInd w:val="0"/>
        <w:snapToGrid w:val="0"/>
        <w:spacing w:line="360" w:lineRule="auto"/>
        <w:outlineLvl w:val="9"/>
        <w:rPr>
          <w:rFonts w:hint="eastAsia" w:ascii="宋体" w:hAnsi="宋体" w:eastAsia="宋体" w:cs="宋体"/>
          <w:b/>
          <w:bCs/>
          <w:color w:val="auto"/>
          <w:sz w:val="24"/>
          <w:szCs w:val="24"/>
          <w:highlight w:val="none"/>
        </w:rPr>
      </w:pPr>
      <w:bookmarkStart w:id="220" w:name="_Toc17919"/>
      <w:r>
        <w:rPr>
          <w:rFonts w:hint="eastAsia" w:ascii="宋体" w:hAnsi="宋体" w:eastAsia="宋体" w:cs="宋体"/>
          <w:b/>
          <w:bCs/>
          <w:color w:val="auto"/>
          <w:sz w:val="24"/>
          <w:szCs w:val="24"/>
          <w:highlight w:val="none"/>
        </w:rPr>
        <w:t>四、与质疑事项相关的质疑请求</w:t>
      </w:r>
      <w:bookmarkEnd w:id="220"/>
    </w:p>
    <w:p w14:paraId="3970832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FF8A1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0C621B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0CAB04EA">
      <w:pPr>
        <w:widowControl/>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767AA1F7">
      <w:pPr>
        <w:outlineLvl w:val="0"/>
        <w:rPr>
          <w:rFonts w:hint="eastAsia" w:ascii="宋体" w:hAnsi="宋体" w:eastAsia="宋体" w:cs="宋体"/>
          <w:b/>
          <w:color w:val="auto"/>
          <w:sz w:val="28"/>
          <w:szCs w:val="32"/>
          <w:highlight w:val="none"/>
        </w:rPr>
      </w:pPr>
      <w:bookmarkStart w:id="221" w:name="_Toc22239"/>
      <w:bookmarkStart w:id="222" w:name="_Toc9754"/>
      <w:r>
        <w:rPr>
          <w:rFonts w:hint="eastAsia" w:ascii="宋体" w:hAnsi="宋体" w:eastAsia="宋体" w:cs="宋体"/>
          <w:b/>
          <w:color w:val="auto"/>
          <w:sz w:val="28"/>
          <w:szCs w:val="32"/>
          <w:highlight w:val="none"/>
        </w:rPr>
        <w:t>质疑函制作说明：</w:t>
      </w:r>
      <w:bookmarkEnd w:id="221"/>
      <w:bookmarkEnd w:id="222"/>
    </w:p>
    <w:p w14:paraId="3761541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144C12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76422E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D45264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C79423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EA491B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3000509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4E51">
    <w:pPr>
      <w:pStyle w:val="17"/>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A2BFE">
                          <w:pPr>
                            <w:pStyle w:val="1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6A2BFE">
                    <w:pPr>
                      <w:pStyle w:val="1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CBC1">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DE45C">
                          <w:pPr>
                            <w:pStyle w:val="17"/>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54DE45C">
                    <w:pPr>
                      <w:pStyle w:val="17"/>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FE28B">
    <w:pPr>
      <w:pStyle w:val="18"/>
      <w:jc w:val="left"/>
      <w:rPr>
        <w:rFonts w:hint="eastAsia" w:asciiTheme="minorEastAsia" w:hAnsiTheme="minorEastAsia" w:eastAsiaTheme="minorEastAsia"/>
        <w:lang w:val="en-US" w:eastAsia="zh-CN"/>
      </w:rPr>
    </w:pPr>
  </w:p>
  <w:p w14:paraId="44D0A477">
    <w:pPr>
      <w:pStyle w:val="18"/>
      <w:jc w:val="left"/>
      <w:rPr>
        <w:rFonts w:hint="eastAsia" w:asciiTheme="minorEastAsia" w:hAnsiTheme="minorEastAsia" w:eastAsiaTheme="minorEastAsia"/>
        <w:lang w:val="en-US" w:eastAsia="zh-CN"/>
      </w:rPr>
    </w:pPr>
  </w:p>
  <w:p w14:paraId="636F2F59">
    <w:pPr>
      <w:pStyle w:val="18"/>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服务类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FD0FE">
    <w:pPr>
      <w:pStyle w:val="18"/>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64A37"/>
    <w:multiLevelType w:val="singleLevel"/>
    <w:tmpl w:val="2A064A37"/>
    <w:lvl w:ilvl="0" w:tentative="0">
      <w:start w:val="3"/>
      <w:numFmt w:val="chineseCounting"/>
      <w:suff w:val="space"/>
      <w:lvlText w:val="第%1章"/>
      <w:lvlJc w:val="left"/>
      <w:rPr>
        <w:rFonts w:hint="eastAsia"/>
      </w:rPr>
    </w:lvl>
  </w:abstractNum>
  <w:abstractNum w:abstractNumId="1">
    <w:nsid w:val="56220685"/>
    <w:multiLevelType w:val="singleLevel"/>
    <w:tmpl w:val="5622068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mI4YmI4ODA2MWE2ZmNkMjg3Zjk0MGJmYmY0ZGYifQ=="/>
  </w:docVars>
  <w:rsids>
    <w:rsidRoot w:val="00172A27"/>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0C6A"/>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5085"/>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1658"/>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443F"/>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1EDB"/>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4C6B51"/>
    <w:rsid w:val="014E5F77"/>
    <w:rsid w:val="01864CFA"/>
    <w:rsid w:val="019273B6"/>
    <w:rsid w:val="02056D00"/>
    <w:rsid w:val="0214602E"/>
    <w:rsid w:val="0236335D"/>
    <w:rsid w:val="02820350"/>
    <w:rsid w:val="02B96008"/>
    <w:rsid w:val="02DE7C7D"/>
    <w:rsid w:val="031418F0"/>
    <w:rsid w:val="03486B27"/>
    <w:rsid w:val="03F731B5"/>
    <w:rsid w:val="040A094E"/>
    <w:rsid w:val="04117BDE"/>
    <w:rsid w:val="0414297A"/>
    <w:rsid w:val="04E36C96"/>
    <w:rsid w:val="04E452F2"/>
    <w:rsid w:val="056800F4"/>
    <w:rsid w:val="056A1C9B"/>
    <w:rsid w:val="056F201D"/>
    <w:rsid w:val="05810D93"/>
    <w:rsid w:val="05B664D4"/>
    <w:rsid w:val="05D13AC9"/>
    <w:rsid w:val="06020126"/>
    <w:rsid w:val="0616772D"/>
    <w:rsid w:val="06F04422"/>
    <w:rsid w:val="06F07F7E"/>
    <w:rsid w:val="06FE6B3F"/>
    <w:rsid w:val="07076C01"/>
    <w:rsid w:val="071C12AC"/>
    <w:rsid w:val="073A744C"/>
    <w:rsid w:val="074E231E"/>
    <w:rsid w:val="076444C8"/>
    <w:rsid w:val="07A934B3"/>
    <w:rsid w:val="07CD02C0"/>
    <w:rsid w:val="07CD206E"/>
    <w:rsid w:val="0808579C"/>
    <w:rsid w:val="0834033F"/>
    <w:rsid w:val="08422A5C"/>
    <w:rsid w:val="08536A17"/>
    <w:rsid w:val="08602EE2"/>
    <w:rsid w:val="0882554E"/>
    <w:rsid w:val="08B15E54"/>
    <w:rsid w:val="08B84ACC"/>
    <w:rsid w:val="08F9600B"/>
    <w:rsid w:val="09174BA0"/>
    <w:rsid w:val="09300B06"/>
    <w:rsid w:val="0958005D"/>
    <w:rsid w:val="0980799C"/>
    <w:rsid w:val="09F2400E"/>
    <w:rsid w:val="0A0C1573"/>
    <w:rsid w:val="0A0D52EB"/>
    <w:rsid w:val="0A0F6376"/>
    <w:rsid w:val="0A165F4E"/>
    <w:rsid w:val="0A353CEA"/>
    <w:rsid w:val="0A4A209B"/>
    <w:rsid w:val="0A5679F4"/>
    <w:rsid w:val="0A6A18DB"/>
    <w:rsid w:val="0A9D666F"/>
    <w:rsid w:val="0AD100C7"/>
    <w:rsid w:val="0ADC1CBC"/>
    <w:rsid w:val="0AEF3828"/>
    <w:rsid w:val="0B375954"/>
    <w:rsid w:val="0B426708"/>
    <w:rsid w:val="0B48482D"/>
    <w:rsid w:val="0BBB665B"/>
    <w:rsid w:val="0BF95B27"/>
    <w:rsid w:val="0C1B3CF0"/>
    <w:rsid w:val="0C205744"/>
    <w:rsid w:val="0C8A49D1"/>
    <w:rsid w:val="0CA152BE"/>
    <w:rsid w:val="0CA64D1B"/>
    <w:rsid w:val="0CA830A9"/>
    <w:rsid w:val="0CB7664E"/>
    <w:rsid w:val="0CE642FD"/>
    <w:rsid w:val="0D2B5882"/>
    <w:rsid w:val="0D83559F"/>
    <w:rsid w:val="0DA73361"/>
    <w:rsid w:val="0DD34156"/>
    <w:rsid w:val="0DD73C46"/>
    <w:rsid w:val="0E0662D9"/>
    <w:rsid w:val="0E1053AA"/>
    <w:rsid w:val="0E213113"/>
    <w:rsid w:val="0E337B00"/>
    <w:rsid w:val="0E5B6625"/>
    <w:rsid w:val="0E653000"/>
    <w:rsid w:val="0E816EC5"/>
    <w:rsid w:val="0E8A0CB9"/>
    <w:rsid w:val="0EDF7256"/>
    <w:rsid w:val="0EEA6FC1"/>
    <w:rsid w:val="0F242EBB"/>
    <w:rsid w:val="0F362BEE"/>
    <w:rsid w:val="0F423341"/>
    <w:rsid w:val="0F954485"/>
    <w:rsid w:val="0FBF344F"/>
    <w:rsid w:val="0FE75496"/>
    <w:rsid w:val="1010343F"/>
    <w:rsid w:val="102173FB"/>
    <w:rsid w:val="104430E9"/>
    <w:rsid w:val="10505F32"/>
    <w:rsid w:val="10545A22"/>
    <w:rsid w:val="105A27E6"/>
    <w:rsid w:val="107B3BB5"/>
    <w:rsid w:val="10D77E16"/>
    <w:rsid w:val="11032FA4"/>
    <w:rsid w:val="111F39E2"/>
    <w:rsid w:val="1132283D"/>
    <w:rsid w:val="1182211B"/>
    <w:rsid w:val="11823EC9"/>
    <w:rsid w:val="119B0711"/>
    <w:rsid w:val="11A227BD"/>
    <w:rsid w:val="11E903EC"/>
    <w:rsid w:val="12197477"/>
    <w:rsid w:val="124A0D49"/>
    <w:rsid w:val="12B74046"/>
    <w:rsid w:val="12CF1390"/>
    <w:rsid w:val="13113756"/>
    <w:rsid w:val="13174AE5"/>
    <w:rsid w:val="13587E2C"/>
    <w:rsid w:val="136E2957"/>
    <w:rsid w:val="13C20EF5"/>
    <w:rsid w:val="1466407E"/>
    <w:rsid w:val="146A097B"/>
    <w:rsid w:val="147D3DF9"/>
    <w:rsid w:val="14834E28"/>
    <w:rsid w:val="148E7D65"/>
    <w:rsid w:val="14C53111"/>
    <w:rsid w:val="14D159C6"/>
    <w:rsid w:val="14D507B4"/>
    <w:rsid w:val="151D4243"/>
    <w:rsid w:val="15231BF9"/>
    <w:rsid w:val="154D47EE"/>
    <w:rsid w:val="155913E5"/>
    <w:rsid w:val="157F1A21"/>
    <w:rsid w:val="15C34AB0"/>
    <w:rsid w:val="15DF7A9E"/>
    <w:rsid w:val="15EA64E1"/>
    <w:rsid w:val="15FF1F8C"/>
    <w:rsid w:val="160550C9"/>
    <w:rsid w:val="160B0931"/>
    <w:rsid w:val="160B6B83"/>
    <w:rsid w:val="166E4A7F"/>
    <w:rsid w:val="167103B5"/>
    <w:rsid w:val="1672275E"/>
    <w:rsid w:val="16781D3E"/>
    <w:rsid w:val="173043C7"/>
    <w:rsid w:val="179F5278"/>
    <w:rsid w:val="17A0779F"/>
    <w:rsid w:val="17B610D0"/>
    <w:rsid w:val="180C273E"/>
    <w:rsid w:val="185078E7"/>
    <w:rsid w:val="186B3909"/>
    <w:rsid w:val="18803812"/>
    <w:rsid w:val="18BE140D"/>
    <w:rsid w:val="18F25DD8"/>
    <w:rsid w:val="192A2730"/>
    <w:rsid w:val="19463FCF"/>
    <w:rsid w:val="1A200723"/>
    <w:rsid w:val="1A3B68AA"/>
    <w:rsid w:val="1A3E1C1E"/>
    <w:rsid w:val="1A7A6085"/>
    <w:rsid w:val="1A9609E5"/>
    <w:rsid w:val="1AC27A2C"/>
    <w:rsid w:val="1AD81C5D"/>
    <w:rsid w:val="1B0C4116"/>
    <w:rsid w:val="1B410951"/>
    <w:rsid w:val="1BB3482F"/>
    <w:rsid w:val="1BC33A5C"/>
    <w:rsid w:val="1BD712B5"/>
    <w:rsid w:val="1BEB4C38"/>
    <w:rsid w:val="1C141836"/>
    <w:rsid w:val="1C202C5C"/>
    <w:rsid w:val="1CB6711D"/>
    <w:rsid w:val="1CE367E1"/>
    <w:rsid w:val="1D412E8A"/>
    <w:rsid w:val="1D4F6C64"/>
    <w:rsid w:val="1D7274E7"/>
    <w:rsid w:val="1D8360C2"/>
    <w:rsid w:val="1E674B72"/>
    <w:rsid w:val="1E6B6A14"/>
    <w:rsid w:val="1EB531D0"/>
    <w:rsid w:val="1EDF295B"/>
    <w:rsid w:val="1EE94BA3"/>
    <w:rsid w:val="1EF503D0"/>
    <w:rsid w:val="1EFF124F"/>
    <w:rsid w:val="1F1C595D"/>
    <w:rsid w:val="1F43738D"/>
    <w:rsid w:val="1F6115C2"/>
    <w:rsid w:val="20300A4D"/>
    <w:rsid w:val="20306FA3"/>
    <w:rsid w:val="20550D9A"/>
    <w:rsid w:val="20B60611"/>
    <w:rsid w:val="20E92284"/>
    <w:rsid w:val="216B6728"/>
    <w:rsid w:val="21714B53"/>
    <w:rsid w:val="218E2416"/>
    <w:rsid w:val="219A0DBB"/>
    <w:rsid w:val="21D00C81"/>
    <w:rsid w:val="226915FE"/>
    <w:rsid w:val="22770BDB"/>
    <w:rsid w:val="22880ECA"/>
    <w:rsid w:val="228D0920"/>
    <w:rsid w:val="228D1C60"/>
    <w:rsid w:val="2298179E"/>
    <w:rsid w:val="22A77C33"/>
    <w:rsid w:val="22C500B9"/>
    <w:rsid w:val="22CF0F38"/>
    <w:rsid w:val="22D60519"/>
    <w:rsid w:val="22E14C32"/>
    <w:rsid w:val="22FD3CF7"/>
    <w:rsid w:val="235D6544"/>
    <w:rsid w:val="238E494F"/>
    <w:rsid w:val="239C59CF"/>
    <w:rsid w:val="23C9261C"/>
    <w:rsid w:val="23E12CD1"/>
    <w:rsid w:val="23E629DD"/>
    <w:rsid w:val="246062EC"/>
    <w:rsid w:val="24B97929"/>
    <w:rsid w:val="24C71835"/>
    <w:rsid w:val="24DA3CE4"/>
    <w:rsid w:val="24E0742D"/>
    <w:rsid w:val="25027743"/>
    <w:rsid w:val="250A44A9"/>
    <w:rsid w:val="25184E18"/>
    <w:rsid w:val="2520252D"/>
    <w:rsid w:val="255A0F8D"/>
    <w:rsid w:val="25C64CB0"/>
    <w:rsid w:val="26163BC1"/>
    <w:rsid w:val="26D1507C"/>
    <w:rsid w:val="26DD14A4"/>
    <w:rsid w:val="2749750B"/>
    <w:rsid w:val="27714AEB"/>
    <w:rsid w:val="27817875"/>
    <w:rsid w:val="27B30E28"/>
    <w:rsid w:val="27D3326E"/>
    <w:rsid w:val="28537F15"/>
    <w:rsid w:val="285F40CA"/>
    <w:rsid w:val="286337C0"/>
    <w:rsid w:val="28C01ECB"/>
    <w:rsid w:val="28CF57EE"/>
    <w:rsid w:val="28EC3ECC"/>
    <w:rsid w:val="28FE60D3"/>
    <w:rsid w:val="294F4B81"/>
    <w:rsid w:val="297E0FC2"/>
    <w:rsid w:val="299A404E"/>
    <w:rsid w:val="29BF71E3"/>
    <w:rsid w:val="29D357B2"/>
    <w:rsid w:val="2A0D0CC4"/>
    <w:rsid w:val="2A127B63"/>
    <w:rsid w:val="2A6428AE"/>
    <w:rsid w:val="2A7C0AFC"/>
    <w:rsid w:val="2A8C3B66"/>
    <w:rsid w:val="2A9E7B6E"/>
    <w:rsid w:val="2AA809EC"/>
    <w:rsid w:val="2AAA4765"/>
    <w:rsid w:val="2ABC4498"/>
    <w:rsid w:val="2AC21606"/>
    <w:rsid w:val="2ACD7048"/>
    <w:rsid w:val="2AF63C5E"/>
    <w:rsid w:val="2B0A3B1E"/>
    <w:rsid w:val="2B12230A"/>
    <w:rsid w:val="2B7E7608"/>
    <w:rsid w:val="2B7F04E9"/>
    <w:rsid w:val="2B9B40AD"/>
    <w:rsid w:val="2C096802"/>
    <w:rsid w:val="2C22657D"/>
    <w:rsid w:val="2C305555"/>
    <w:rsid w:val="2C526E62"/>
    <w:rsid w:val="2C70553A"/>
    <w:rsid w:val="2C9A21B9"/>
    <w:rsid w:val="2CAD23A4"/>
    <w:rsid w:val="2CB35427"/>
    <w:rsid w:val="2CD21D51"/>
    <w:rsid w:val="2CE20523"/>
    <w:rsid w:val="2CF25F4F"/>
    <w:rsid w:val="2D1660E1"/>
    <w:rsid w:val="2D1C7470"/>
    <w:rsid w:val="2D3B78F6"/>
    <w:rsid w:val="2D485B6F"/>
    <w:rsid w:val="2D496D68"/>
    <w:rsid w:val="2DEA131C"/>
    <w:rsid w:val="2E3D2EAD"/>
    <w:rsid w:val="2E6672CB"/>
    <w:rsid w:val="2E7A48DE"/>
    <w:rsid w:val="2E84707B"/>
    <w:rsid w:val="2EDC3ED8"/>
    <w:rsid w:val="2F120B2A"/>
    <w:rsid w:val="2F1C72B3"/>
    <w:rsid w:val="2F2D046C"/>
    <w:rsid w:val="2F6351B4"/>
    <w:rsid w:val="2FCA4F61"/>
    <w:rsid w:val="2FCF199E"/>
    <w:rsid w:val="300A7A53"/>
    <w:rsid w:val="301306B6"/>
    <w:rsid w:val="3017022E"/>
    <w:rsid w:val="30483E83"/>
    <w:rsid w:val="308E2433"/>
    <w:rsid w:val="30AA0E97"/>
    <w:rsid w:val="30E262DA"/>
    <w:rsid w:val="31124E12"/>
    <w:rsid w:val="313C59EB"/>
    <w:rsid w:val="3144441E"/>
    <w:rsid w:val="314B0324"/>
    <w:rsid w:val="31512E23"/>
    <w:rsid w:val="31D73965"/>
    <w:rsid w:val="31EB11BF"/>
    <w:rsid w:val="32116E77"/>
    <w:rsid w:val="326C67A3"/>
    <w:rsid w:val="332C1AEA"/>
    <w:rsid w:val="334E4CD8"/>
    <w:rsid w:val="33D77818"/>
    <w:rsid w:val="342D3D10"/>
    <w:rsid w:val="343C0775"/>
    <w:rsid w:val="349B6ECC"/>
    <w:rsid w:val="34AA76A9"/>
    <w:rsid w:val="34AF4725"/>
    <w:rsid w:val="34B00BC9"/>
    <w:rsid w:val="34D76ADF"/>
    <w:rsid w:val="34DD1293"/>
    <w:rsid w:val="34EF0FC6"/>
    <w:rsid w:val="35225F43"/>
    <w:rsid w:val="356C50EC"/>
    <w:rsid w:val="356E2833"/>
    <w:rsid w:val="357C6CFE"/>
    <w:rsid w:val="35B71AE4"/>
    <w:rsid w:val="361108CD"/>
    <w:rsid w:val="369167D9"/>
    <w:rsid w:val="36A007CA"/>
    <w:rsid w:val="36B64491"/>
    <w:rsid w:val="3700166C"/>
    <w:rsid w:val="371116C7"/>
    <w:rsid w:val="371C1DDA"/>
    <w:rsid w:val="3727617F"/>
    <w:rsid w:val="375969FE"/>
    <w:rsid w:val="377A54BF"/>
    <w:rsid w:val="38694EE9"/>
    <w:rsid w:val="389D67BA"/>
    <w:rsid w:val="38B90269"/>
    <w:rsid w:val="38C06F01"/>
    <w:rsid w:val="38C509BB"/>
    <w:rsid w:val="38DD7AB3"/>
    <w:rsid w:val="393022D9"/>
    <w:rsid w:val="39BA4298"/>
    <w:rsid w:val="39BD78E5"/>
    <w:rsid w:val="39CE1AF2"/>
    <w:rsid w:val="39FA28E7"/>
    <w:rsid w:val="3A887EF3"/>
    <w:rsid w:val="3A9C74FA"/>
    <w:rsid w:val="3ABA038B"/>
    <w:rsid w:val="3B0532F1"/>
    <w:rsid w:val="3B2F019D"/>
    <w:rsid w:val="3B365CC9"/>
    <w:rsid w:val="3B4F0A10"/>
    <w:rsid w:val="3B521418"/>
    <w:rsid w:val="3B854432"/>
    <w:rsid w:val="3B9A7B88"/>
    <w:rsid w:val="3BC114FF"/>
    <w:rsid w:val="3C2660C6"/>
    <w:rsid w:val="3C5A4393"/>
    <w:rsid w:val="3C6978B0"/>
    <w:rsid w:val="3D2C7AC8"/>
    <w:rsid w:val="3D37175C"/>
    <w:rsid w:val="3D673DEF"/>
    <w:rsid w:val="3D855D12"/>
    <w:rsid w:val="3D8B42FF"/>
    <w:rsid w:val="3D8C02DD"/>
    <w:rsid w:val="3D9848F1"/>
    <w:rsid w:val="3DAC5CA6"/>
    <w:rsid w:val="3DC20089"/>
    <w:rsid w:val="3DD27E02"/>
    <w:rsid w:val="3DF36A6E"/>
    <w:rsid w:val="3E1321C9"/>
    <w:rsid w:val="3E324EE5"/>
    <w:rsid w:val="3E8B1D5F"/>
    <w:rsid w:val="3E9E5F37"/>
    <w:rsid w:val="3EF9316D"/>
    <w:rsid w:val="3F1138E1"/>
    <w:rsid w:val="3F165ACD"/>
    <w:rsid w:val="3F777F37"/>
    <w:rsid w:val="3F792F1E"/>
    <w:rsid w:val="3F84512C"/>
    <w:rsid w:val="3FC94699"/>
    <w:rsid w:val="402E695E"/>
    <w:rsid w:val="404C2B02"/>
    <w:rsid w:val="405D597D"/>
    <w:rsid w:val="407231D7"/>
    <w:rsid w:val="40754A75"/>
    <w:rsid w:val="40774DD8"/>
    <w:rsid w:val="407C2246"/>
    <w:rsid w:val="40824826"/>
    <w:rsid w:val="40E23A1F"/>
    <w:rsid w:val="40E63923"/>
    <w:rsid w:val="40EE1BD8"/>
    <w:rsid w:val="40FA4F7A"/>
    <w:rsid w:val="41151DB4"/>
    <w:rsid w:val="413B5469"/>
    <w:rsid w:val="41964FF9"/>
    <w:rsid w:val="41B63597"/>
    <w:rsid w:val="41CF6407"/>
    <w:rsid w:val="41D34149"/>
    <w:rsid w:val="42073DF3"/>
    <w:rsid w:val="427D5E63"/>
    <w:rsid w:val="42B443F4"/>
    <w:rsid w:val="42D610B6"/>
    <w:rsid w:val="42F43FD4"/>
    <w:rsid w:val="437234EE"/>
    <w:rsid w:val="43943464"/>
    <w:rsid w:val="43A91E5B"/>
    <w:rsid w:val="43B34232"/>
    <w:rsid w:val="43B92ECB"/>
    <w:rsid w:val="44050ECF"/>
    <w:rsid w:val="444430DC"/>
    <w:rsid w:val="44760DBC"/>
    <w:rsid w:val="449B1E09"/>
    <w:rsid w:val="44B30262"/>
    <w:rsid w:val="44BC3308"/>
    <w:rsid w:val="44CB1108"/>
    <w:rsid w:val="44DF2AD6"/>
    <w:rsid w:val="456357E4"/>
    <w:rsid w:val="456F23DB"/>
    <w:rsid w:val="457A48DC"/>
    <w:rsid w:val="45847B00"/>
    <w:rsid w:val="45BA48DB"/>
    <w:rsid w:val="45C36283"/>
    <w:rsid w:val="46020B59"/>
    <w:rsid w:val="46080139"/>
    <w:rsid w:val="461D1E37"/>
    <w:rsid w:val="463A3650"/>
    <w:rsid w:val="469F0116"/>
    <w:rsid w:val="46B67B95"/>
    <w:rsid w:val="46B8390E"/>
    <w:rsid w:val="46BB51AC"/>
    <w:rsid w:val="46BD52AE"/>
    <w:rsid w:val="475259B7"/>
    <w:rsid w:val="47571378"/>
    <w:rsid w:val="47764260"/>
    <w:rsid w:val="477F442B"/>
    <w:rsid w:val="47855EE6"/>
    <w:rsid w:val="47B71E17"/>
    <w:rsid w:val="47CF1229"/>
    <w:rsid w:val="47FB7F56"/>
    <w:rsid w:val="48111527"/>
    <w:rsid w:val="48425B85"/>
    <w:rsid w:val="48575A24"/>
    <w:rsid w:val="4867383D"/>
    <w:rsid w:val="487274B4"/>
    <w:rsid w:val="487F0B87"/>
    <w:rsid w:val="48831CF9"/>
    <w:rsid w:val="488436EE"/>
    <w:rsid w:val="488B0DB2"/>
    <w:rsid w:val="489108BA"/>
    <w:rsid w:val="48943F06"/>
    <w:rsid w:val="49042E3A"/>
    <w:rsid w:val="496D6C31"/>
    <w:rsid w:val="497C6E74"/>
    <w:rsid w:val="499E328F"/>
    <w:rsid w:val="49A165B8"/>
    <w:rsid w:val="49B1408D"/>
    <w:rsid w:val="49CD5922"/>
    <w:rsid w:val="49EB7B56"/>
    <w:rsid w:val="4A4200BE"/>
    <w:rsid w:val="4A7D4FD2"/>
    <w:rsid w:val="4A913C9A"/>
    <w:rsid w:val="4AE22D2F"/>
    <w:rsid w:val="4AEE45D4"/>
    <w:rsid w:val="4B0610EB"/>
    <w:rsid w:val="4B0E7FA0"/>
    <w:rsid w:val="4B1F70AC"/>
    <w:rsid w:val="4B240F94"/>
    <w:rsid w:val="4B386AE5"/>
    <w:rsid w:val="4B895879"/>
    <w:rsid w:val="4B944949"/>
    <w:rsid w:val="4B95421D"/>
    <w:rsid w:val="4BA75287"/>
    <w:rsid w:val="4BED70D6"/>
    <w:rsid w:val="4BEE4070"/>
    <w:rsid w:val="4BF61160"/>
    <w:rsid w:val="4C3C565C"/>
    <w:rsid w:val="4C675BBA"/>
    <w:rsid w:val="4CCC79C7"/>
    <w:rsid w:val="4CE94821"/>
    <w:rsid w:val="4D241CFD"/>
    <w:rsid w:val="4D7555C7"/>
    <w:rsid w:val="4D7B7443"/>
    <w:rsid w:val="4E1E674C"/>
    <w:rsid w:val="4E4361B3"/>
    <w:rsid w:val="4E5C7274"/>
    <w:rsid w:val="4E7B3B9E"/>
    <w:rsid w:val="4E8C1667"/>
    <w:rsid w:val="4E9C58C3"/>
    <w:rsid w:val="4EAE6DA0"/>
    <w:rsid w:val="4F1B2C8C"/>
    <w:rsid w:val="4F244236"/>
    <w:rsid w:val="4FCE41A2"/>
    <w:rsid w:val="4FD01CC8"/>
    <w:rsid w:val="4FD037EF"/>
    <w:rsid w:val="5016514B"/>
    <w:rsid w:val="501C6CBB"/>
    <w:rsid w:val="502857C7"/>
    <w:rsid w:val="50373AF5"/>
    <w:rsid w:val="50476D3D"/>
    <w:rsid w:val="513918A9"/>
    <w:rsid w:val="517843C5"/>
    <w:rsid w:val="5181771E"/>
    <w:rsid w:val="51CB1C78"/>
    <w:rsid w:val="51D6733E"/>
    <w:rsid w:val="51DB42C9"/>
    <w:rsid w:val="51FD6A51"/>
    <w:rsid w:val="521D4F6D"/>
    <w:rsid w:val="524424F9"/>
    <w:rsid w:val="524D13AE"/>
    <w:rsid w:val="526B680A"/>
    <w:rsid w:val="52B400B8"/>
    <w:rsid w:val="53150D15"/>
    <w:rsid w:val="5349086C"/>
    <w:rsid w:val="534A7FE3"/>
    <w:rsid w:val="5352083E"/>
    <w:rsid w:val="5358625C"/>
    <w:rsid w:val="53C22E18"/>
    <w:rsid w:val="53C412A4"/>
    <w:rsid w:val="53C75190"/>
    <w:rsid w:val="53CB7839"/>
    <w:rsid w:val="53DA4EC3"/>
    <w:rsid w:val="53F1220D"/>
    <w:rsid w:val="541A5D30"/>
    <w:rsid w:val="546D40DC"/>
    <w:rsid w:val="549C486F"/>
    <w:rsid w:val="553E632F"/>
    <w:rsid w:val="558A2919"/>
    <w:rsid w:val="55A0213D"/>
    <w:rsid w:val="55A51501"/>
    <w:rsid w:val="55E276DA"/>
    <w:rsid w:val="55EB160A"/>
    <w:rsid w:val="55F068CD"/>
    <w:rsid w:val="566C3136"/>
    <w:rsid w:val="568D04F2"/>
    <w:rsid w:val="569C6DA8"/>
    <w:rsid w:val="56BC6B02"/>
    <w:rsid w:val="56C47577"/>
    <w:rsid w:val="56F51D94"/>
    <w:rsid w:val="570A5ABF"/>
    <w:rsid w:val="57452F9B"/>
    <w:rsid w:val="57A37CC2"/>
    <w:rsid w:val="57E672BB"/>
    <w:rsid w:val="58535244"/>
    <w:rsid w:val="58845D45"/>
    <w:rsid w:val="588D6DD7"/>
    <w:rsid w:val="58CB5722"/>
    <w:rsid w:val="59084281"/>
    <w:rsid w:val="591C5F7E"/>
    <w:rsid w:val="592A069B"/>
    <w:rsid w:val="59554FEC"/>
    <w:rsid w:val="595B6AA6"/>
    <w:rsid w:val="59725B9E"/>
    <w:rsid w:val="597429C5"/>
    <w:rsid w:val="59AA17DC"/>
    <w:rsid w:val="59D6612D"/>
    <w:rsid w:val="59DA0CAB"/>
    <w:rsid w:val="5A0A227A"/>
    <w:rsid w:val="5A272E2C"/>
    <w:rsid w:val="5A343208"/>
    <w:rsid w:val="5A492DA3"/>
    <w:rsid w:val="5A511C57"/>
    <w:rsid w:val="5A526582"/>
    <w:rsid w:val="5A5F5C77"/>
    <w:rsid w:val="5A843DDB"/>
    <w:rsid w:val="5A9F29C3"/>
    <w:rsid w:val="5AE26D53"/>
    <w:rsid w:val="5B33135D"/>
    <w:rsid w:val="5B865931"/>
    <w:rsid w:val="5BBE39CD"/>
    <w:rsid w:val="5BC11A60"/>
    <w:rsid w:val="5C043425"/>
    <w:rsid w:val="5C463473"/>
    <w:rsid w:val="5C7A4D54"/>
    <w:rsid w:val="5CD23B73"/>
    <w:rsid w:val="5CD5091E"/>
    <w:rsid w:val="5CDF354A"/>
    <w:rsid w:val="5D437F7D"/>
    <w:rsid w:val="5D4C4020"/>
    <w:rsid w:val="5D924A61"/>
    <w:rsid w:val="5D962A06"/>
    <w:rsid w:val="5DAF116F"/>
    <w:rsid w:val="5E1216FE"/>
    <w:rsid w:val="5E225DE5"/>
    <w:rsid w:val="5E341674"/>
    <w:rsid w:val="5E413D91"/>
    <w:rsid w:val="5E987E55"/>
    <w:rsid w:val="5F127819"/>
    <w:rsid w:val="5F3758C0"/>
    <w:rsid w:val="5F63752A"/>
    <w:rsid w:val="5FCB6008"/>
    <w:rsid w:val="60340051"/>
    <w:rsid w:val="604A1623"/>
    <w:rsid w:val="605204D7"/>
    <w:rsid w:val="609D1752"/>
    <w:rsid w:val="60CA62C0"/>
    <w:rsid w:val="60F1503F"/>
    <w:rsid w:val="61025188"/>
    <w:rsid w:val="61057D5F"/>
    <w:rsid w:val="614D4977"/>
    <w:rsid w:val="61736957"/>
    <w:rsid w:val="61811D3C"/>
    <w:rsid w:val="61B96A60"/>
    <w:rsid w:val="61BE5E24"/>
    <w:rsid w:val="61E15FB7"/>
    <w:rsid w:val="621A5025"/>
    <w:rsid w:val="62C31A1B"/>
    <w:rsid w:val="62E06CFA"/>
    <w:rsid w:val="62F615EE"/>
    <w:rsid w:val="638B61DA"/>
    <w:rsid w:val="63A320F7"/>
    <w:rsid w:val="63C60FC0"/>
    <w:rsid w:val="63C703E3"/>
    <w:rsid w:val="63FB10C3"/>
    <w:rsid w:val="64177A6E"/>
    <w:rsid w:val="646E0E0B"/>
    <w:rsid w:val="64BA3D7A"/>
    <w:rsid w:val="64CD08EA"/>
    <w:rsid w:val="64F179BC"/>
    <w:rsid w:val="65044496"/>
    <w:rsid w:val="651F5701"/>
    <w:rsid w:val="6578278E"/>
    <w:rsid w:val="65C94C55"/>
    <w:rsid w:val="65DC4ACB"/>
    <w:rsid w:val="65F71905"/>
    <w:rsid w:val="65FE7137"/>
    <w:rsid w:val="660B3602"/>
    <w:rsid w:val="665704D3"/>
    <w:rsid w:val="66F422E8"/>
    <w:rsid w:val="66FB3677"/>
    <w:rsid w:val="67312331"/>
    <w:rsid w:val="673148E2"/>
    <w:rsid w:val="673E453B"/>
    <w:rsid w:val="674F751F"/>
    <w:rsid w:val="675445CD"/>
    <w:rsid w:val="678A0557"/>
    <w:rsid w:val="679565B5"/>
    <w:rsid w:val="67AB6E4B"/>
    <w:rsid w:val="67C065A4"/>
    <w:rsid w:val="67D359C9"/>
    <w:rsid w:val="67E934CF"/>
    <w:rsid w:val="68152516"/>
    <w:rsid w:val="68195331"/>
    <w:rsid w:val="682D5AB2"/>
    <w:rsid w:val="68BD127B"/>
    <w:rsid w:val="68D20407"/>
    <w:rsid w:val="68FE36DD"/>
    <w:rsid w:val="69166543"/>
    <w:rsid w:val="694940A9"/>
    <w:rsid w:val="694E60FC"/>
    <w:rsid w:val="697033BA"/>
    <w:rsid w:val="698E432E"/>
    <w:rsid w:val="698F62F8"/>
    <w:rsid w:val="69E00902"/>
    <w:rsid w:val="69EF4042"/>
    <w:rsid w:val="6A3B3D8A"/>
    <w:rsid w:val="6A415844"/>
    <w:rsid w:val="6A845731"/>
    <w:rsid w:val="6A8B6AC0"/>
    <w:rsid w:val="6B115C20"/>
    <w:rsid w:val="6B9072BA"/>
    <w:rsid w:val="6BA37E39"/>
    <w:rsid w:val="6BCE135A"/>
    <w:rsid w:val="6BFA618B"/>
    <w:rsid w:val="6C410A63"/>
    <w:rsid w:val="6C675CE6"/>
    <w:rsid w:val="6C8B0FF9"/>
    <w:rsid w:val="6C8C6B1F"/>
    <w:rsid w:val="6C97174C"/>
    <w:rsid w:val="6CEF35AF"/>
    <w:rsid w:val="6D45389E"/>
    <w:rsid w:val="6D4D62AE"/>
    <w:rsid w:val="6D4F4321"/>
    <w:rsid w:val="6D97577B"/>
    <w:rsid w:val="6DD8201C"/>
    <w:rsid w:val="6DFE57FA"/>
    <w:rsid w:val="6DFF7360"/>
    <w:rsid w:val="6E611B16"/>
    <w:rsid w:val="6E7A5F73"/>
    <w:rsid w:val="6EA91C0A"/>
    <w:rsid w:val="6EAA28F7"/>
    <w:rsid w:val="6EC407F2"/>
    <w:rsid w:val="6F2E3798"/>
    <w:rsid w:val="6F9E54E7"/>
    <w:rsid w:val="6FB1521A"/>
    <w:rsid w:val="6FD74228"/>
    <w:rsid w:val="6FF43359"/>
    <w:rsid w:val="70377FE7"/>
    <w:rsid w:val="703B0F88"/>
    <w:rsid w:val="70FE448F"/>
    <w:rsid w:val="70FE5EDF"/>
    <w:rsid w:val="71237A52"/>
    <w:rsid w:val="71493231"/>
    <w:rsid w:val="71633091"/>
    <w:rsid w:val="71EF5B86"/>
    <w:rsid w:val="73081CA5"/>
    <w:rsid w:val="7309757A"/>
    <w:rsid w:val="73584999"/>
    <w:rsid w:val="737E4A2B"/>
    <w:rsid w:val="73835288"/>
    <w:rsid w:val="73944C37"/>
    <w:rsid w:val="73BC5F3C"/>
    <w:rsid w:val="73D03795"/>
    <w:rsid w:val="73DD4830"/>
    <w:rsid w:val="74100036"/>
    <w:rsid w:val="7420296E"/>
    <w:rsid w:val="74237D69"/>
    <w:rsid w:val="74510D7A"/>
    <w:rsid w:val="74545B7C"/>
    <w:rsid w:val="7487762D"/>
    <w:rsid w:val="749E3893"/>
    <w:rsid w:val="74DD43BC"/>
    <w:rsid w:val="75053151"/>
    <w:rsid w:val="751B4EE4"/>
    <w:rsid w:val="75385498"/>
    <w:rsid w:val="753A180E"/>
    <w:rsid w:val="754B57C9"/>
    <w:rsid w:val="75907680"/>
    <w:rsid w:val="75DD41A6"/>
    <w:rsid w:val="76360227"/>
    <w:rsid w:val="76452218"/>
    <w:rsid w:val="765D3A06"/>
    <w:rsid w:val="7677439C"/>
    <w:rsid w:val="768014A2"/>
    <w:rsid w:val="76832D41"/>
    <w:rsid w:val="769211D6"/>
    <w:rsid w:val="769962BD"/>
    <w:rsid w:val="76BC207F"/>
    <w:rsid w:val="76D22715"/>
    <w:rsid w:val="76EA2DC0"/>
    <w:rsid w:val="76EB4904"/>
    <w:rsid w:val="77311B44"/>
    <w:rsid w:val="774B7D02"/>
    <w:rsid w:val="77660698"/>
    <w:rsid w:val="77732DB5"/>
    <w:rsid w:val="777378F5"/>
    <w:rsid w:val="777A2D3C"/>
    <w:rsid w:val="778E3127"/>
    <w:rsid w:val="78250553"/>
    <w:rsid w:val="78537BEA"/>
    <w:rsid w:val="78656BA2"/>
    <w:rsid w:val="787E5EB6"/>
    <w:rsid w:val="78C17088"/>
    <w:rsid w:val="78C22246"/>
    <w:rsid w:val="78DC0666"/>
    <w:rsid w:val="78E26444"/>
    <w:rsid w:val="78EA52F9"/>
    <w:rsid w:val="79074B81"/>
    <w:rsid w:val="792B7DEB"/>
    <w:rsid w:val="79334EF2"/>
    <w:rsid w:val="794F0939"/>
    <w:rsid w:val="79714BDB"/>
    <w:rsid w:val="799C2A97"/>
    <w:rsid w:val="79AF0FCA"/>
    <w:rsid w:val="79D82816"/>
    <w:rsid w:val="79EF2560"/>
    <w:rsid w:val="79F40916"/>
    <w:rsid w:val="7A0423EA"/>
    <w:rsid w:val="7A24145C"/>
    <w:rsid w:val="7A262361"/>
    <w:rsid w:val="7A3525A4"/>
    <w:rsid w:val="7A70182E"/>
    <w:rsid w:val="7AB40A15"/>
    <w:rsid w:val="7ADE2C3C"/>
    <w:rsid w:val="7AEC1A4C"/>
    <w:rsid w:val="7AF9279C"/>
    <w:rsid w:val="7B1B79EC"/>
    <w:rsid w:val="7B2965AD"/>
    <w:rsid w:val="7BDF6541"/>
    <w:rsid w:val="7BF22E42"/>
    <w:rsid w:val="7C3D3992"/>
    <w:rsid w:val="7C596A1E"/>
    <w:rsid w:val="7C635AEE"/>
    <w:rsid w:val="7C961A20"/>
    <w:rsid w:val="7CC51958"/>
    <w:rsid w:val="7CE85FF3"/>
    <w:rsid w:val="7CEC40B6"/>
    <w:rsid w:val="7CEE3FAE"/>
    <w:rsid w:val="7D0050EB"/>
    <w:rsid w:val="7D11554A"/>
    <w:rsid w:val="7D4F55DD"/>
    <w:rsid w:val="7E1A7A97"/>
    <w:rsid w:val="7E2936C3"/>
    <w:rsid w:val="7E2E365C"/>
    <w:rsid w:val="7E635932"/>
    <w:rsid w:val="7E6411B9"/>
    <w:rsid w:val="7E7E276B"/>
    <w:rsid w:val="7E830842"/>
    <w:rsid w:val="7E9A50CB"/>
    <w:rsid w:val="7EC04876"/>
    <w:rsid w:val="7EE06F82"/>
    <w:rsid w:val="7EF944E8"/>
    <w:rsid w:val="7F765B38"/>
    <w:rsid w:val="7F8773E3"/>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57"/>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59"/>
    <w:autoRedefine/>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64"/>
    <w:autoRedefine/>
    <w:qFormat/>
    <w:uiPriority w:val="0"/>
    <w:pPr>
      <w:keepNext/>
      <w:keepLines/>
      <w:spacing w:before="280" w:after="290" w:line="376" w:lineRule="auto"/>
      <w:outlineLvl w:val="3"/>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9">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annotation text"/>
    <w:basedOn w:val="1"/>
    <w:link w:val="56"/>
    <w:autoRedefine/>
    <w:qFormat/>
    <w:uiPriority w:val="0"/>
    <w:pPr>
      <w:jc w:val="left"/>
    </w:pPr>
    <w:rPr>
      <w:rFonts w:ascii="Arial" w:hAnsi="Arial" w:eastAsia="黑体" w:cs="Arial"/>
    </w:rPr>
  </w:style>
  <w:style w:type="paragraph" w:styleId="11">
    <w:name w:val="Body Text"/>
    <w:basedOn w:val="1"/>
    <w:autoRedefine/>
    <w:qFormat/>
    <w:uiPriority w:val="0"/>
    <w:pPr>
      <w:spacing w:after="120"/>
    </w:pPr>
    <w:rPr>
      <w:rFonts w:ascii="@微软简标宋" w:hAnsi="@微软简标宋" w:eastAsia="@微软简标宋" w:cs="@微软简标宋"/>
      <w:szCs w:val="24"/>
      <w:lang w:val="zh-CN"/>
    </w:rPr>
  </w:style>
  <w:style w:type="paragraph" w:styleId="12">
    <w:name w:val="Block Text"/>
    <w:basedOn w:val="1"/>
    <w:next w:val="11"/>
    <w:qFormat/>
    <w:uiPriority w:val="0"/>
    <w:pPr>
      <w:spacing w:line="320" w:lineRule="exact"/>
      <w:ind w:left="1159" w:leftChars="320" w:right="153" w:rightChars="73" w:hanging="487" w:hangingChars="203"/>
    </w:pPr>
    <w:rPr>
      <w:snapToGrid w:val="0"/>
      <w:kern w:val="0"/>
      <w:sz w:val="24"/>
      <w:szCs w:val="20"/>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6"/>
    <w:autoRedefine/>
    <w:qFormat/>
    <w:uiPriority w:val="99"/>
    <w:rPr>
      <w:rFonts w:ascii="宋体" w:hAnsi="Courier New" w:eastAsiaTheme="minorEastAsia" w:cstheme="minorBidi"/>
      <w:szCs w:val="22"/>
    </w:rPr>
  </w:style>
  <w:style w:type="paragraph" w:styleId="15">
    <w:name w:val="Date"/>
    <w:basedOn w:val="1"/>
    <w:next w:val="1"/>
    <w:link w:val="53"/>
    <w:autoRedefine/>
    <w:qFormat/>
    <w:uiPriority w:val="0"/>
    <w:rPr>
      <w:rFonts w:ascii="Arial" w:hAnsi="Arial" w:eastAsia="宋体" w:cs="Arial"/>
      <w:b/>
      <w:sz w:val="28"/>
    </w:rPr>
  </w:style>
  <w:style w:type="paragraph" w:styleId="16">
    <w:name w:val="Balloon Text"/>
    <w:basedOn w:val="1"/>
    <w:link w:val="40"/>
    <w:autoRedefine/>
    <w:semiHidden/>
    <w:unhideWhenUsed/>
    <w:qFormat/>
    <w:uiPriority w:val="99"/>
    <w:rPr>
      <w:sz w:val="18"/>
      <w:szCs w:val="18"/>
    </w:rPr>
  </w:style>
  <w:style w:type="paragraph" w:styleId="17">
    <w:name w:val="footer"/>
    <w:basedOn w:val="1"/>
    <w:link w:val="45"/>
    <w:autoRedefine/>
    <w:unhideWhenUsed/>
    <w:qFormat/>
    <w:uiPriority w:val="99"/>
    <w:pPr>
      <w:tabs>
        <w:tab w:val="center" w:pos="4153"/>
        <w:tab w:val="right" w:pos="8306"/>
      </w:tabs>
      <w:snapToGrid w:val="0"/>
      <w:jc w:val="left"/>
    </w:pPr>
    <w:rPr>
      <w:sz w:val="18"/>
      <w:szCs w:val="18"/>
    </w:rPr>
  </w:style>
  <w:style w:type="paragraph" w:styleId="18">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10"/>
    <w:next w:val="10"/>
    <w:link w:val="67"/>
    <w:autoRedefine/>
    <w:semiHidden/>
    <w:unhideWhenUsed/>
    <w:qFormat/>
    <w:uiPriority w:val="99"/>
    <w:rPr>
      <w:rFonts w:ascii="@仿宋_GB2312" w:hAnsi="@仿宋_GB2312" w:eastAsia="@仿宋_GB2312" w:cs="@仿宋_GB2312"/>
      <w:b/>
      <w:bCs/>
    </w:rPr>
  </w:style>
  <w:style w:type="paragraph" w:styleId="24">
    <w:name w:val="Body Text First Indent"/>
    <w:basedOn w:val="11"/>
    <w:autoRedefine/>
    <w:unhideWhenUsed/>
    <w:qFormat/>
    <w:uiPriority w:val="99"/>
    <w:pPr>
      <w:ind w:firstLine="420" w:firstLineChars="100"/>
    </w:p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bCs/>
    </w:rPr>
  </w:style>
  <w:style w:type="character" w:styleId="29">
    <w:name w:val="FollowedHyperlink"/>
    <w:basedOn w:val="27"/>
    <w:semiHidden/>
    <w:unhideWhenUsed/>
    <w:qFormat/>
    <w:uiPriority w:val="99"/>
    <w:rPr>
      <w:color w:val="800080"/>
      <w:u w:val="none"/>
    </w:rPr>
  </w:style>
  <w:style w:type="character" w:styleId="30">
    <w:name w:val="HTML Definition"/>
    <w:basedOn w:val="27"/>
    <w:semiHidden/>
    <w:unhideWhenUsed/>
    <w:qFormat/>
    <w:uiPriority w:val="99"/>
  </w:style>
  <w:style w:type="character" w:styleId="31">
    <w:name w:val="HTML Typewriter"/>
    <w:basedOn w:val="27"/>
    <w:semiHidden/>
    <w:unhideWhenUsed/>
    <w:qFormat/>
    <w:uiPriority w:val="99"/>
    <w:rPr>
      <w:rFonts w:hint="default" w:ascii="monospace" w:hAnsi="monospace" w:eastAsia="monospace" w:cs="monospace"/>
      <w:sz w:val="20"/>
    </w:rPr>
  </w:style>
  <w:style w:type="character" w:styleId="32">
    <w:name w:val="HTML Acronym"/>
    <w:basedOn w:val="27"/>
    <w:semiHidden/>
    <w:unhideWhenUsed/>
    <w:qFormat/>
    <w:uiPriority w:val="99"/>
  </w:style>
  <w:style w:type="character" w:styleId="33">
    <w:name w:val="HTML Variable"/>
    <w:basedOn w:val="27"/>
    <w:semiHidden/>
    <w:unhideWhenUsed/>
    <w:qFormat/>
    <w:uiPriority w:val="99"/>
  </w:style>
  <w:style w:type="character" w:styleId="34">
    <w:name w:val="Hyperlink"/>
    <w:basedOn w:val="27"/>
    <w:autoRedefine/>
    <w:unhideWhenUsed/>
    <w:qFormat/>
    <w:uiPriority w:val="99"/>
    <w:rPr>
      <w:color w:val="0000FF" w:themeColor="hyperlink"/>
      <w:u w:val="single"/>
      <w14:textFill>
        <w14:solidFill>
          <w14:schemeClr w14:val="hlink"/>
        </w14:solidFill>
      </w14:textFill>
    </w:rPr>
  </w:style>
  <w:style w:type="character" w:styleId="35">
    <w:name w:val="HTML Code"/>
    <w:basedOn w:val="27"/>
    <w:semiHidden/>
    <w:unhideWhenUsed/>
    <w:qFormat/>
    <w:uiPriority w:val="99"/>
    <w:rPr>
      <w:rFonts w:ascii="monospace" w:hAnsi="monospace" w:eastAsia="monospace" w:cs="monospace"/>
      <w:sz w:val="20"/>
    </w:rPr>
  </w:style>
  <w:style w:type="character" w:styleId="36">
    <w:name w:val="annotation reference"/>
    <w:basedOn w:val="27"/>
    <w:autoRedefine/>
    <w:semiHidden/>
    <w:unhideWhenUsed/>
    <w:qFormat/>
    <w:uiPriority w:val="99"/>
    <w:rPr>
      <w:sz w:val="21"/>
      <w:szCs w:val="21"/>
    </w:rPr>
  </w:style>
  <w:style w:type="character" w:styleId="37">
    <w:name w:val="HTML Cite"/>
    <w:basedOn w:val="27"/>
    <w:semiHidden/>
    <w:unhideWhenUsed/>
    <w:qFormat/>
    <w:uiPriority w:val="99"/>
  </w:style>
  <w:style w:type="character" w:styleId="38">
    <w:name w:val="HTML Keyboard"/>
    <w:basedOn w:val="27"/>
    <w:semiHidden/>
    <w:unhideWhenUsed/>
    <w:qFormat/>
    <w:uiPriority w:val="99"/>
    <w:rPr>
      <w:rFonts w:hint="default" w:ascii="monospace" w:hAnsi="monospace" w:eastAsia="monospace" w:cs="monospace"/>
      <w:sz w:val="20"/>
    </w:rPr>
  </w:style>
  <w:style w:type="character" w:styleId="39">
    <w:name w:val="HTML Sample"/>
    <w:basedOn w:val="27"/>
    <w:semiHidden/>
    <w:unhideWhenUsed/>
    <w:qFormat/>
    <w:uiPriority w:val="99"/>
    <w:rPr>
      <w:rFonts w:hint="default" w:ascii="monospace" w:hAnsi="monospace" w:eastAsia="monospace" w:cs="monospace"/>
    </w:rPr>
  </w:style>
  <w:style w:type="character" w:customStyle="1" w:styleId="40">
    <w:name w:val="批注框文本 Char"/>
    <w:basedOn w:val="27"/>
    <w:link w:val="16"/>
    <w:autoRedefine/>
    <w:semiHidden/>
    <w:qFormat/>
    <w:uiPriority w:val="99"/>
    <w:rPr>
      <w:rFonts w:ascii="@仿宋_GB2312" w:hAnsi="@仿宋_GB2312" w:eastAsia="@仿宋_GB2312" w:cs="@仿宋_GB2312"/>
      <w:sz w:val="18"/>
      <w:szCs w:val="18"/>
    </w:rPr>
  </w:style>
  <w:style w:type="paragraph" w:customStyle="1" w:styleId="41">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2">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3">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4">
    <w:name w:val="页眉 Char"/>
    <w:basedOn w:val="27"/>
    <w:link w:val="18"/>
    <w:autoRedefine/>
    <w:qFormat/>
    <w:uiPriority w:val="99"/>
    <w:rPr>
      <w:rFonts w:ascii="@仿宋_GB2312" w:hAnsi="@仿宋_GB2312" w:eastAsia="@仿宋_GB2312" w:cs="@仿宋_GB2312"/>
      <w:sz w:val="18"/>
      <w:szCs w:val="18"/>
    </w:rPr>
  </w:style>
  <w:style w:type="character" w:customStyle="1" w:styleId="45">
    <w:name w:val="页脚 Char"/>
    <w:basedOn w:val="27"/>
    <w:link w:val="17"/>
    <w:autoRedefine/>
    <w:qFormat/>
    <w:uiPriority w:val="99"/>
    <w:rPr>
      <w:rFonts w:ascii="@仿宋_GB2312" w:hAnsi="@仿宋_GB2312" w:eastAsia="@仿宋_GB2312" w:cs="@仿宋_GB2312"/>
      <w:sz w:val="18"/>
      <w:szCs w:val="18"/>
    </w:rPr>
  </w:style>
  <w:style w:type="character" w:customStyle="1" w:styleId="46">
    <w:name w:val="纯文本 Char"/>
    <w:link w:val="14"/>
    <w:autoRedefine/>
    <w:qFormat/>
    <w:uiPriority w:val="0"/>
    <w:rPr>
      <w:rFonts w:ascii="宋体" w:hAnsi="Courier New"/>
    </w:rPr>
  </w:style>
  <w:style w:type="character" w:customStyle="1" w:styleId="47">
    <w:name w:val="纯文本 字符1"/>
    <w:basedOn w:val="27"/>
    <w:autoRedefine/>
    <w:semiHidden/>
    <w:qFormat/>
    <w:uiPriority w:val="99"/>
    <w:rPr>
      <w:rFonts w:hAnsi="Courier New" w:cs="Courier New" w:asciiTheme="minorEastAsia"/>
      <w:szCs w:val="20"/>
    </w:rPr>
  </w:style>
  <w:style w:type="character" w:customStyle="1" w:styleId="48">
    <w:name w:val="未处理的提及1"/>
    <w:basedOn w:val="27"/>
    <w:autoRedefine/>
    <w:semiHidden/>
    <w:unhideWhenUsed/>
    <w:qFormat/>
    <w:uiPriority w:val="99"/>
    <w:rPr>
      <w:color w:val="605E5C"/>
      <w:shd w:val="clear" w:color="auto" w:fill="E1DFDD"/>
    </w:rPr>
  </w:style>
  <w:style w:type="paragraph" w:styleId="49">
    <w:name w:val="List Paragraph"/>
    <w:basedOn w:val="1"/>
    <w:autoRedefine/>
    <w:qFormat/>
    <w:uiPriority w:val="34"/>
    <w:pPr>
      <w:ind w:firstLine="420" w:firstLineChars="200"/>
    </w:pPr>
  </w:style>
  <w:style w:type="paragraph" w:customStyle="1" w:styleId="50">
    <w:name w:val="Char Char Char Char Char Char Char1 Char"/>
    <w:basedOn w:val="1"/>
    <w:autoRedefine/>
    <w:qFormat/>
    <w:uiPriority w:val="0"/>
    <w:rPr>
      <w:rFonts w:ascii="Arial" w:hAnsi="Arial" w:eastAsia="宋体" w:cs="Arial"/>
      <w:sz w:val="24"/>
    </w:rPr>
  </w:style>
  <w:style w:type="table" w:customStyle="1" w:styleId="51">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2">
    <w:name w:val="日期 字符"/>
    <w:basedOn w:val="27"/>
    <w:autoRedefine/>
    <w:semiHidden/>
    <w:qFormat/>
    <w:uiPriority w:val="99"/>
    <w:rPr>
      <w:rFonts w:ascii="@仿宋_GB2312" w:hAnsi="@仿宋_GB2312" w:eastAsia="@仿宋_GB2312" w:cs="@仿宋_GB2312"/>
      <w:szCs w:val="20"/>
    </w:rPr>
  </w:style>
  <w:style w:type="character" w:customStyle="1" w:styleId="53">
    <w:name w:val="日期 Char"/>
    <w:link w:val="15"/>
    <w:autoRedefine/>
    <w:qFormat/>
    <w:uiPriority w:val="0"/>
    <w:rPr>
      <w:rFonts w:ascii="Arial" w:hAnsi="Arial" w:eastAsia="宋体" w:cs="Arial"/>
      <w:b/>
      <w:sz w:val="28"/>
      <w:szCs w:val="20"/>
    </w:rPr>
  </w:style>
  <w:style w:type="character" w:customStyle="1" w:styleId="54">
    <w:name w:val="纯文本 Char1"/>
    <w:autoRedefine/>
    <w:qFormat/>
    <w:locked/>
    <w:uiPriority w:val="99"/>
    <w:rPr>
      <w:rFonts w:ascii="Arial" w:hAnsi="Arial" w:eastAsia="Arial"/>
      <w:kern w:val="2"/>
      <w:sz w:val="21"/>
      <w:lang w:val="en-US" w:eastAsia="zh-CN" w:bidi="ar-SA"/>
    </w:rPr>
  </w:style>
  <w:style w:type="character" w:customStyle="1" w:styleId="55">
    <w:name w:val="批注文字 Char"/>
    <w:basedOn w:val="27"/>
    <w:autoRedefine/>
    <w:semiHidden/>
    <w:qFormat/>
    <w:uiPriority w:val="99"/>
    <w:rPr>
      <w:rFonts w:ascii="@仿宋_GB2312" w:hAnsi="@仿宋_GB2312" w:eastAsia="@仿宋_GB2312" w:cs="@仿宋_GB2312"/>
      <w:szCs w:val="20"/>
    </w:rPr>
  </w:style>
  <w:style w:type="character" w:customStyle="1" w:styleId="56">
    <w:name w:val="批注文字 Char1"/>
    <w:link w:val="10"/>
    <w:autoRedefine/>
    <w:qFormat/>
    <w:uiPriority w:val="0"/>
    <w:rPr>
      <w:rFonts w:ascii="Arial" w:hAnsi="Arial" w:eastAsia="黑体" w:cs="Arial"/>
      <w:szCs w:val="20"/>
    </w:rPr>
  </w:style>
  <w:style w:type="character" w:customStyle="1" w:styleId="57">
    <w:name w:val="标题 1 Char"/>
    <w:basedOn w:val="27"/>
    <w:link w:val="5"/>
    <w:autoRedefine/>
    <w:qFormat/>
    <w:uiPriority w:val="9"/>
    <w:rPr>
      <w:rFonts w:ascii="@仿宋_GB2312" w:hAnsi="@仿宋_GB2312" w:eastAsia="@仿宋_GB2312" w:cs="@仿宋_GB2312"/>
      <w:b/>
      <w:bCs/>
      <w:kern w:val="44"/>
      <w:sz w:val="44"/>
      <w:szCs w:val="44"/>
    </w:rPr>
  </w:style>
  <w:style w:type="paragraph" w:customStyle="1" w:styleId="58">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9">
    <w:name w:val="标题 3 Char"/>
    <w:basedOn w:val="27"/>
    <w:link w:val="7"/>
    <w:autoRedefine/>
    <w:semiHidden/>
    <w:qFormat/>
    <w:uiPriority w:val="9"/>
    <w:rPr>
      <w:rFonts w:ascii="@仿宋_GB2312" w:hAnsi="@仿宋_GB2312" w:eastAsia="@仿宋_GB2312" w:cs="@仿宋_GB2312"/>
      <w:b/>
      <w:bCs/>
      <w:sz w:val="32"/>
      <w:szCs w:val="32"/>
    </w:rPr>
  </w:style>
  <w:style w:type="character" w:customStyle="1" w:styleId="60">
    <w:name w:val="fontstyle01"/>
    <w:basedOn w:val="27"/>
    <w:autoRedefine/>
    <w:qFormat/>
    <w:uiPriority w:val="0"/>
    <w:rPr>
      <w:rFonts w:hint="eastAsia" w:ascii="宋体" w:hAnsi="宋体" w:eastAsia="宋体"/>
      <w:color w:val="000000"/>
      <w:sz w:val="22"/>
      <w:szCs w:val="22"/>
    </w:rPr>
  </w:style>
  <w:style w:type="character" w:customStyle="1" w:styleId="61">
    <w:name w:val="fontstyle21"/>
    <w:basedOn w:val="27"/>
    <w:autoRedefine/>
    <w:qFormat/>
    <w:uiPriority w:val="0"/>
    <w:rPr>
      <w:rFonts w:hint="default" w:ascii="TimesNewRomanPSMT" w:hAnsi="TimesNewRomanPSMT"/>
      <w:color w:val="000000"/>
      <w:sz w:val="22"/>
      <w:szCs w:val="22"/>
    </w:rPr>
  </w:style>
  <w:style w:type="character" w:customStyle="1" w:styleId="62">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3">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64">
    <w:name w:val="标题 4 Char1"/>
    <w:link w:val="8"/>
    <w:autoRedefine/>
    <w:qFormat/>
    <w:uiPriority w:val="0"/>
    <w:rPr>
      <w:rFonts w:ascii="@仿宋_GB2312" w:hAnsi="@仿宋_GB2312" w:eastAsia="@仿宋_GB2312" w:cs="@仿宋_GB2312"/>
      <w:b/>
      <w:bCs/>
      <w:sz w:val="28"/>
      <w:szCs w:val="28"/>
    </w:rPr>
  </w:style>
  <w:style w:type="character" w:customStyle="1" w:styleId="65">
    <w:name w:val="标题 4 Char"/>
    <w:autoRedefine/>
    <w:qFormat/>
    <w:uiPriority w:val="0"/>
    <w:rPr>
      <w:rFonts w:ascii="Arial" w:hAnsi="Arial" w:eastAsia="Arial"/>
      <w:b/>
      <w:bCs/>
      <w:kern w:val="2"/>
      <w:sz w:val="28"/>
      <w:szCs w:val="28"/>
      <w:lang w:val="en-US" w:eastAsia="zh-CN" w:bidi="ar-SA"/>
    </w:rPr>
  </w:style>
  <w:style w:type="table" w:customStyle="1" w:styleId="66">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7">
    <w:name w:val="批注主题 Char"/>
    <w:basedOn w:val="56"/>
    <w:link w:val="23"/>
    <w:autoRedefine/>
    <w:semiHidden/>
    <w:qFormat/>
    <w:uiPriority w:val="99"/>
    <w:rPr>
      <w:rFonts w:ascii="@仿宋_GB2312" w:hAnsi="@仿宋_GB2312" w:eastAsia="@仿宋_GB2312" w:cs="@仿宋_GB2312"/>
      <w:b/>
      <w:bCs/>
      <w:szCs w:val="20"/>
    </w:rPr>
  </w:style>
  <w:style w:type="table" w:customStyle="1" w:styleId="68">
    <w:name w:val="Table Normal"/>
    <w:autoRedefine/>
    <w:semiHidden/>
    <w:unhideWhenUsed/>
    <w:qFormat/>
    <w:uiPriority w:val="0"/>
    <w:tblPr>
      <w:tblCellMar>
        <w:top w:w="0" w:type="dxa"/>
        <w:left w:w="0" w:type="dxa"/>
        <w:bottom w:w="0" w:type="dxa"/>
        <w:right w:w="0" w:type="dxa"/>
      </w:tblCellMar>
    </w:tblPr>
  </w:style>
  <w:style w:type="paragraph" w:customStyle="1" w:styleId="69">
    <w:name w:val="Table Text"/>
    <w:basedOn w:val="1"/>
    <w:autoRedefine/>
    <w:semiHidden/>
    <w:qFormat/>
    <w:uiPriority w:val="0"/>
    <w:rPr>
      <w:rFonts w:ascii="Arial" w:hAnsi="Arial" w:eastAsia="Arial" w:cs="Arial"/>
      <w:sz w:val="21"/>
      <w:szCs w:val="21"/>
      <w:lang w:val="en-US" w:eastAsia="en-US" w:bidi="ar-SA"/>
    </w:rPr>
  </w:style>
  <w:style w:type="table" w:customStyle="1" w:styleId="70">
    <w:name w:val="Plain Table 2"/>
    <w:basedOn w:val="25"/>
    <w:qFormat/>
    <w:uiPriority w:val="42"/>
    <w:rPr>
      <w:rFonts w:asciiTheme="minorHAnsi" w:hAnsiTheme="minorHAnsi" w:eastAsiaTheme="minorEastAsia" w:cstheme="minorBidi"/>
    </w:r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71">
    <w:name w:val="first-child"/>
    <w:basedOn w:val="27"/>
    <w:qFormat/>
    <w:uiPriority w:val="0"/>
  </w:style>
  <w:style w:type="character" w:customStyle="1" w:styleId="72">
    <w:name w:val="layui-this"/>
    <w:basedOn w:val="27"/>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41</Pages>
  <Words>8993</Words>
  <Characters>9621</Characters>
  <Lines>1</Lines>
  <Paragraphs>1</Paragraphs>
  <TotalTime>2</TotalTime>
  <ScaleCrop>false</ScaleCrop>
  <LinksUpToDate>false</LinksUpToDate>
  <CharactersWithSpaces>9847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无聊的老H</cp:lastModifiedBy>
  <cp:lastPrinted>2019-12-07T15:18:00Z</cp:lastPrinted>
  <dcterms:modified xsi:type="dcterms:W3CDTF">2025-06-13T00:03:11Z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11950390AC3F4DD79E4D5BC3CEFA9300_13</vt:lpwstr>
  </property>
  <property fmtid="{D5CDD505-2E9C-101B-9397-08002B2CF9AE}" pid="4" name="KSOTemplateDocerSaveRecord">
    <vt:lpwstr>eyJoZGlkIjoiZTQ5YWVjYzdjODE0ZmFhYmI4YTYxNDIwMDkxYjkzMjMiLCJ1c2VySWQiOiIzNzgzMjE3NjkifQ==</vt:lpwstr>
  </property>
</Properties>
</file>