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78A33">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4861EC49">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3D9A585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22BD8CF5">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服务类</w:t>
      </w:r>
      <w:r>
        <w:rPr>
          <w:rFonts w:hint="eastAsia" w:ascii="宋体" w:hAnsi="宋体" w:eastAsia="宋体"/>
          <w:b/>
          <w:bCs/>
          <w:color w:val="auto"/>
          <w:sz w:val="52"/>
          <w:szCs w:val="52"/>
          <w:highlight w:val="none"/>
          <w:lang w:eastAsia="zh-CN"/>
        </w:rPr>
        <w:t>）</w:t>
      </w:r>
    </w:p>
    <w:p w14:paraId="65713D5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4B366C3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4BB114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A4B864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0238876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C12B4E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A6A64D2">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滁州市第一人民医院2025-2027年法律顾问服务项目</w:t>
      </w:r>
    </w:p>
    <w:p w14:paraId="7A457A3A">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eastAsia="zh-CN"/>
        </w:rPr>
        <w:t>CZYY-2025-47</w:t>
      </w:r>
    </w:p>
    <w:p w14:paraId="3ECD9FA6">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滁州市第一人民医院</w:t>
      </w:r>
    </w:p>
    <w:p w14:paraId="7736FB99">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江苏川页工程项目管理有限公司</w:t>
      </w:r>
    </w:p>
    <w:p w14:paraId="61CF2BB0">
      <w:pPr>
        <w:tabs>
          <w:tab w:val="left" w:pos="315"/>
          <w:tab w:val="left" w:pos="8820"/>
        </w:tabs>
        <w:spacing w:before="312" w:beforeLines="100" w:after="156" w:afterLines="50" w:line="500" w:lineRule="exact"/>
        <w:ind w:right="267" w:rightChars="127"/>
        <w:jc w:val="center"/>
        <w:rPr>
          <w:rFonts w:hint="default" w:ascii="宋体" w:hAnsi="宋体" w:eastAsia="宋体"/>
          <w:b/>
          <w:bCs/>
          <w:color w:val="auto"/>
          <w:sz w:val="32"/>
          <w:szCs w:val="32"/>
          <w:highlight w:val="none"/>
          <w:lang w:val="en-US" w:eastAsia="zh-CN"/>
        </w:rPr>
      </w:pPr>
      <w:r>
        <w:rPr>
          <w:rFonts w:hint="eastAsia" w:ascii="宋体" w:hAnsi="宋体" w:eastAsia="宋体"/>
          <w:b/>
          <w:bCs/>
          <w:color w:val="auto"/>
          <w:sz w:val="32"/>
          <w:szCs w:val="32"/>
          <w:highlight w:val="none"/>
          <w:lang w:val="en-US" w:eastAsia="zh-CN"/>
        </w:rPr>
        <w:t>2025年8月</w:t>
      </w:r>
    </w:p>
    <w:p w14:paraId="66A92C81">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685AECAD">
      <w:pPr>
        <w:rPr>
          <w:rFonts w:hint="eastAsia" w:ascii="宋体" w:hAnsi="宋体" w:eastAsia="宋体"/>
          <w:b/>
          <w:color w:val="auto"/>
          <w:sz w:val="28"/>
          <w:highlight w:val="none"/>
        </w:rPr>
      </w:pPr>
      <w:r>
        <w:rPr>
          <w:rFonts w:hint="eastAsia" w:ascii="宋体" w:hAnsi="宋体" w:eastAsia="宋体"/>
          <w:b/>
          <w:color w:val="auto"/>
          <w:sz w:val="28"/>
          <w:highlight w:val="none"/>
        </w:rPr>
        <w:br w:type="page"/>
      </w:r>
    </w:p>
    <w:p w14:paraId="07791B2B">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45F048E7">
      <w:pPr>
        <w:pStyle w:val="16"/>
        <w:tabs>
          <w:tab w:val="right" w:leader="dot" w:pos="8306"/>
        </w:tabs>
        <w:rPr>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_Toc23443 </w:instrText>
      </w:r>
      <w:r>
        <w:rPr>
          <w:rFonts w:ascii="宋体" w:hAnsi="宋体" w:eastAsia="宋体"/>
          <w:szCs w:val="24"/>
          <w:highlight w:val="none"/>
        </w:rPr>
        <w:fldChar w:fldCharType="separate"/>
      </w:r>
      <w:r>
        <w:rPr>
          <w:rFonts w:hint="eastAsia" w:ascii="宋体" w:hAnsi="宋体" w:eastAsia="宋体"/>
          <w:highlight w:val="none"/>
        </w:rPr>
        <w:t xml:space="preserve">第一章 </w:t>
      </w:r>
      <w:r>
        <w:rPr>
          <w:rFonts w:ascii="宋体" w:hAnsi="宋体" w:eastAsia="宋体"/>
          <w:highlight w:val="none"/>
        </w:rPr>
        <w:t xml:space="preserve"> 投标邀请</w:t>
      </w:r>
      <w:r>
        <w:rPr>
          <w:highlight w:val="none"/>
        </w:rPr>
        <w:tab/>
      </w:r>
      <w:r>
        <w:rPr>
          <w:highlight w:val="none"/>
        </w:rPr>
        <w:fldChar w:fldCharType="begin"/>
      </w:r>
      <w:r>
        <w:rPr>
          <w:highlight w:val="none"/>
        </w:rPr>
        <w:instrText xml:space="preserve"> PAGEREF _Toc23443 \h </w:instrText>
      </w:r>
      <w:r>
        <w:rPr>
          <w:highlight w:val="none"/>
        </w:rPr>
        <w:fldChar w:fldCharType="separate"/>
      </w:r>
      <w:r>
        <w:rPr>
          <w:highlight w:val="none"/>
        </w:rPr>
        <w:t>1</w:t>
      </w:r>
      <w:r>
        <w:rPr>
          <w:highlight w:val="none"/>
        </w:rPr>
        <w:fldChar w:fldCharType="end"/>
      </w:r>
      <w:r>
        <w:rPr>
          <w:rFonts w:ascii="宋体" w:hAnsi="宋体" w:eastAsia="宋体"/>
          <w:color w:val="auto"/>
          <w:szCs w:val="24"/>
          <w:highlight w:val="none"/>
        </w:rPr>
        <w:fldChar w:fldCharType="end"/>
      </w:r>
    </w:p>
    <w:p w14:paraId="014915B6">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_Toc31935 </w:instrText>
      </w:r>
      <w:r>
        <w:rPr>
          <w:rFonts w:ascii="宋体" w:hAnsi="宋体" w:eastAsia="宋体"/>
          <w:szCs w:val="24"/>
          <w:highlight w:val="none"/>
        </w:rPr>
        <w:fldChar w:fldCharType="separate"/>
      </w:r>
      <w:r>
        <w:rPr>
          <w:rFonts w:hint="eastAsia" w:ascii="宋体" w:hAnsi="宋体" w:eastAsia="宋体"/>
          <w:highlight w:val="none"/>
        </w:rPr>
        <w:t>第二章</w:t>
      </w:r>
      <w:r>
        <w:rPr>
          <w:rFonts w:ascii="宋体" w:hAnsi="宋体" w:eastAsia="宋体"/>
          <w:highlight w:val="none"/>
        </w:rPr>
        <w:t xml:space="preserve"> </w:t>
      </w:r>
      <w:r>
        <w:rPr>
          <w:rFonts w:hint="eastAsia" w:ascii="宋体" w:hAnsi="宋体" w:eastAsia="宋体"/>
          <w:highlight w:val="none"/>
        </w:rPr>
        <w:t xml:space="preserve"> </w:t>
      </w:r>
      <w:r>
        <w:rPr>
          <w:rFonts w:ascii="宋体" w:hAnsi="宋体" w:eastAsia="宋体"/>
          <w:highlight w:val="none"/>
        </w:rPr>
        <w:t>投标人须知</w:t>
      </w:r>
      <w:r>
        <w:rPr>
          <w:highlight w:val="none"/>
        </w:rPr>
        <w:tab/>
      </w:r>
      <w:r>
        <w:rPr>
          <w:highlight w:val="none"/>
        </w:rPr>
        <w:fldChar w:fldCharType="begin"/>
      </w:r>
      <w:r>
        <w:rPr>
          <w:highlight w:val="none"/>
        </w:rPr>
        <w:instrText xml:space="preserve"> PAGEREF _Toc31935 \h </w:instrText>
      </w:r>
      <w:r>
        <w:rPr>
          <w:highlight w:val="none"/>
        </w:rPr>
        <w:fldChar w:fldCharType="separate"/>
      </w:r>
      <w:r>
        <w:rPr>
          <w:highlight w:val="none"/>
        </w:rPr>
        <w:t>4</w:t>
      </w:r>
      <w:r>
        <w:rPr>
          <w:highlight w:val="none"/>
        </w:rPr>
        <w:fldChar w:fldCharType="end"/>
      </w:r>
      <w:r>
        <w:rPr>
          <w:rFonts w:ascii="宋体" w:hAnsi="宋体" w:eastAsia="宋体"/>
          <w:color w:val="auto"/>
          <w:szCs w:val="24"/>
          <w:highlight w:val="none"/>
        </w:rPr>
        <w:fldChar w:fldCharType="end"/>
      </w:r>
    </w:p>
    <w:p w14:paraId="1F0C1596">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_Toc10891 </w:instrText>
      </w:r>
      <w:r>
        <w:rPr>
          <w:rFonts w:ascii="宋体" w:hAnsi="宋体" w:eastAsia="宋体"/>
          <w:szCs w:val="24"/>
          <w:highlight w:val="none"/>
        </w:rPr>
        <w:fldChar w:fldCharType="separate"/>
      </w:r>
      <w:r>
        <w:rPr>
          <w:rFonts w:hint="eastAsia" w:ascii="宋体" w:hAnsi="宋体" w:eastAsia="宋体"/>
          <w:highlight w:val="none"/>
        </w:rPr>
        <w:t>第三章  采购需求</w:t>
      </w:r>
      <w:r>
        <w:rPr>
          <w:highlight w:val="none"/>
        </w:rPr>
        <w:tab/>
      </w:r>
      <w:r>
        <w:rPr>
          <w:highlight w:val="none"/>
        </w:rPr>
        <w:fldChar w:fldCharType="begin"/>
      </w:r>
      <w:r>
        <w:rPr>
          <w:highlight w:val="none"/>
        </w:rPr>
        <w:instrText xml:space="preserve"> PAGEREF _Toc10891 \h </w:instrText>
      </w:r>
      <w:r>
        <w:rPr>
          <w:highlight w:val="none"/>
        </w:rPr>
        <w:fldChar w:fldCharType="separate"/>
      </w:r>
      <w:r>
        <w:rPr>
          <w:highlight w:val="none"/>
        </w:rPr>
        <w:t>18</w:t>
      </w:r>
      <w:r>
        <w:rPr>
          <w:highlight w:val="none"/>
        </w:rPr>
        <w:fldChar w:fldCharType="end"/>
      </w:r>
      <w:r>
        <w:rPr>
          <w:rFonts w:ascii="宋体" w:hAnsi="宋体" w:eastAsia="宋体"/>
          <w:color w:val="auto"/>
          <w:szCs w:val="24"/>
          <w:highlight w:val="none"/>
        </w:rPr>
        <w:fldChar w:fldCharType="end"/>
      </w:r>
    </w:p>
    <w:p w14:paraId="2716B4CC">
      <w:pPr>
        <w:pStyle w:val="16"/>
        <w:tabs>
          <w:tab w:val="right" w:leader="dot" w:pos="8306"/>
        </w:tabs>
        <w:rPr>
          <w:rFonts w:hint="eastAsia" w:eastAsia="宋体"/>
          <w:highlight w:val="none"/>
          <w:lang w:val="en-US" w:eastAsia="zh-CN"/>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_Toc16417 </w:instrText>
      </w:r>
      <w:r>
        <w:rPr>
          <w:rFonts w:ascii="宋体" w:hAnsi="宋体" w:eastAsia="宋体"/>
          <w:szCs w:val="24"/>
          <w:highlight w:val="none"/>
        </w:rPr>
        <w:fldChar w:fldCharType="separate"/>
      </w:r>
      <w:r>
        <w:rPr>
          <w:rFonts w:hint="eastAsia" w:ascii="宋体" w:hAnsi="宋体" w:eastAsia="宋体"/>
          <w:highlight w:val="none"/>
        </w:rPr>
        <w:t>第四章  评标方法和标准</w:t>
      </w:r>
      <w:r>
        <w:rPr>
          <w:highlight w:val="none"/>
        </w:rPr>
        <w:tab/>
      </w:r>
      <w:r>
        <w:rPr>
          <w:rFonts w:hint="eastAsia"/>
          <w:highlight w:val="none"/>
          <w:lang w:val="en-US" w:eastAsia="zh-CN"/>
        </w:rPr>
        <w:t>2</w:t>
      </w:r>
      <w:r>
        <w:rPr>
          <w:rFonts w:ascii="宋体" w:hAnsi="宋体" w:eastAsia="宋体"/>
          <w:color w:val="auto"/>
          <w:szCs w:val="24"/>
          <w:highlight w:val="none"/>
        </w:rPr>
        <w:fldChar w:fldCharType="end"/>
      </w:r>
      <w:r>
        <w:rPr>
          <w:rFonts w:hint="eastAsia" w:ascii="宋体" w:hAnsi="宋体"/>
          <w:color w:val="auto"/>
          <w:szCs w:val="24"/>
          <w:highlight w:val="none"/>
          <w:lang w:val="en-US" w:eastAsia="zh-CN"/>
        </w:rPr>
        <w:t>0</w:t>
      </w:r>
    </w:p>
    <w:p w14:paraId="681AF7DB">
      <w:pPr>
        <w:pStyle w:val="16"/>
        <w:tabs>
          <w:tab w:val="right" w:leader="dot" w:pos="8306"/>
        </w:tabs>
        <w:rPr>
          <w:rFonts w:hint="eastAsia" w:eastAsia="宋体"/>
          <w:highlight w:val="none"/>
          <w:lang w:val="en-US" w:eastAsia="zh-CN"/>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_Toc4682 </w:instrText>
      </w:r>
      <w:r>
        <w:rPr>
          <w:rFonts w:ascii="宋体" w:hAnsi="宋体" w:eastAsia="宋体"/>
          <w:szCs w:val="24"/>
          <w:highlight w:val="none"/>
        </w:rPr>
        <w:fldChar w:fldCharType="separate"/>
      </w:r>
      <w:r>
        <w:rPr>
          <w:rFonts w:hint="eastAsia" w:ascii="宋体" w:hAnsi="宋体" w:eastAsia="宋体"/>
          <w:highlight w:val="none"/>
        </w:rPr>
        <w:t xml:space="preserve">第五章  </w:t>
      </w:r>
      <w:r>
        <w:rPr>
          <w:rFonts w:ascii="宋体" w:hAnsi="宋体" w:eastAsia="宋体"/>
          <w:highlight w:val="none"/>
        </w:rPr>
        <w:t>政府采购合同</w:t>
      </w:r>
      <w:r>
        <w:rPr>
          <w:highlight w:val="none"/>
        </w:rPr>
        <w:tab/>
      </w:r>
      <w:r>
        <w:rPr>
          <w:rFonts w:hint="eastAsia"/>
          <w:highlight w:val="none"/>
          <w:lang w:val="en-US" w:eastAsia="zh-CN"/>
        </w:rPr>
        <w:t>2</w:t>
      </w:r>
      <w:r>
        <w:rPr>
          <w:rFonts w:ascii="宋体" w:hAnsi="宋体" w:eastAsia="宋体"/>
          <w:color w:val="auto"/>
          <w:szCs w:val="24"/>
          <w:highlight w:val="none"/>
        </w:rPr>
        <w:fldChar w:fldCharType="end"/>
      </w:r>
      <w:r>
        <w:rPr>
          <w:rFonts w:hint="eastAsia" w:ascii="宋体" w:hAnsi="宋体"/>
          <w:color w:val="auto"/>
          <w:szCs w:val="24"/>
          <w:highlight w:val="none"/>
          <w:lang w:val="en-US" w:eastAsia="zh-CN"/>
        </w:rPr>
        <w:t>4</w:t>
      </w:r>
    </w:p>
    <w:p w14:paraId="71ECE1B1">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_Toc22492 </w:instrText>
      </w:r>
      <w:r>
        <w:rPr>
          <w:rFonts w:ascii="宋体" w:hAnsi="宋体" w:eastAsia="宋体"/>
          <w:szCs w:val="24"/>
          <w:highlight w:val="none"/>
        </w:rPr>
        <w:fldChar w:fldCharType="separate"/>
      </w:r>
      <w:r>
        <w:rPr>
          <w:rFonts w:hint="eastAsia" w:ascii="宋体" w:hAnsi="宋体" w:eastAsia="宋体"/>
          <w:highlight w:val="none"/>
        </w:rPr>
        <w:t>第六章  投标文件格式</w:t>
      </w:r>
      <w:r>
        <w:rPr>
          <w:highlight w:val="none"/>
        </w:rPr>
        <w:tab/>
      </w:r>
      <w:r>
        <w:rPr>
          <w:highlight w:val="none"/>
        </w:rPr>
        <w:fldChar w:fldCharType="begin"/>
      </w:r>
      <w:r>
        <w:rPr>
          <w:highlight w:val="none"/>
        </w:rPr>
        <w:instrText xml:space="preserve"> PAGEREF _Toc22492 \h </w:instrText>
      </w:r>
      <w:r>
        <w:rPr>
          <w:highlight w:val="none"/>
        </w:rPr>
        <w:fldChar w:fldCharType="separate"/>
      </w:r>
      <w:r>
        <w:rPr>
          <w:highlight w:val="none"/>
        </w:rPr>
        <w:t>37</w:t>
      </w:r>
      <w:r>
        <w:rPr>
          <w:highlight w:val="none"/>
        </w:rPr>
        <w:fldChar w:fldCharType="end"/>
      </w:r>
      <w:r>
        <w:rPr>
          <w:rFonts w:ascii="宋体" w:hAnsi="宋体" w:eastAsia="宋体"/>
          <w:color w:val="auto"/>
          <w:szCs w:val="24"/>
          <w:highlight w:val="none"/>
        </w:rPr>
        <w:fldChar w:fldCharType="end"/>
      </w:r>
    </w:p>
    <w:p w14:paraId="5D664A74">
      <w:pPr>
        <w:pStyle w:val="16"/>
        <w:tabs>
          <w:tab w:val="right" w:leader="dot" w:pos="8306"/>
        </w:tabs>
        <w:rPr>
          <w:rFonts w:hint="eastAsia" w:eastAsia="宋体"/>
          <w:highlight w:val="none"/>
          <w:lang w:val="en-US" w:eastAsia="zh-CN"/>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_Toc18131 </w:instrText>
      </w:r>
      <w:r>
        <w:rPr>
          <w:rFonts w:ascii="宋体" w:hAnsi="宋体" w:eastAsia="宋体"/>
          <w:szCs w:val="24"/>
          <w:highlight w:val="none"/>
        </w:rPr>
        <w:fldChar w:fldCharType="separate"/>
      </w:r>
      <w:r>
        <w:rPr>
          <w:rFonts w:hint="eastAsia" w:ascii="宋体" w:hAnsi="宋体" w:eastAsia="宋体"/>
          <w:highlight w:val="none"/>
        </w:rPr>
        <w:t>第</w:t>
      </w:r>
      <w:r>
        <w:rPr>
          <w:rFonts w:hint="eastAsia" w:ascii="宋体" w:hAnsi="宋体" w:eastAsia="宋体"/>
          <w:highlight w:val="none"/>
          <w:lang w:val="en-US" w:eastAsia="zh-CN"/>
        </w:rPr>
        <w:t>七</w:t>
      </w:r>
      <w:r>
        <w:rPr>
          <w:rFonts w:hint="eastAsia" w:ascii="宋体" w:hAnsi="宋体" w:eastAsia="宋体"/>
          <w:highlight w:val="none"/>
        </w:rPr>
        <w:t>章</w:t>
      </w:r>
      <w:r>
        <w:rPr>
          <w:rFonts w:hint="eastAsia" w:ascii="宋体" w:hAnsi="宋体" w:eastAsia="宋体"/>
          <w:bCs/>
          <w:highlight w:val="none"/>
        </w:rPr>
        <w:t xml:space="preserve">  政府采购</w:t>
      </w:r>
      <w:r>
        <w:rPr>
          <w:rFonts w:hint="eastAsia" w:ascii="宋体" w:hAnsi="宋体" w:eastAsia="宋体"/>
          <w:highlight w:val="none"/>
        </w:rPr>
        <w:t>供应</w:t>
      </w:r>
      <w:r>
        <w:rPr>
          <w:rFonts w:hint="eastAsia" w:ascii="宋体" w:hAnsi="宋体" w:eastAsia="宋体"/>
          <w:bCs/>
          <w:highlight w:val="none"/>
        </w:rPr>
        <w:t>商询问函和质疑函范本</w:t>
      </w:r>
      <w:r>
        <w:rPr>
          <w:highlight w:val="none"/>
        </w:rPr>
        <w:tab/>
      </w:r>
      <w:r>
        <w:rPr>
          <w:rFonts w:hint="eastAsia"/>
          <w:highlight w:val="none"/>
          <w:lang w:val="en-US" w:eastAsia="zh-CN"/>
        </w:rPr>
        <w:t>4</w:t>
      </w:r>
      <w:r>
        <w:rPr>
          <w:rFonts w:ascii="宋体" w:hAnsi="宋体" w:eastAsia="宋体"/>
          <w:color w:val="auto"/>
          <w:szCs w:val="24"/>
          <w:highlight w:val="none"/>
        </w:rPr>
        <w:fldChar w:fldCharType="end"/>
      </w:r>
      <w:r>
        <w:rPr>
          <w:rFonts w:hint="eastAsia" w:ascii="宋体" w:hAnsi="宋体"/>
          <w:color w:val="auto"/>
          <w:szCs w:val="24"/>
          <w:highlight w:val="none"/>
          <w:lang w:val="en-US" w:eastAsia="zh-CN"/>
        </w:rPr>
        <w:t>9</w:t>
      </w:r>
    </w:p>
    <w:p w14:paraId="1802C566">
      <w:pPr>
        <w:spacing w:line="360" w:lineRule="auto"/>
        <w:rPr>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ascii="宋体" w:hAnsi="宋体" w:eastAsia="宋体"/>
          <w:color w:val="auto"/>
          <w:szCs w:val="24"/>
          <w:highlight w:val="none"/>
        </w:rPr>
        <w:fldChar w:fldCharType="end"/>
      </w:r>
    </w:p>
    <w:p w14:paraId="798B8536">
      <w:pPr>
        <w:spacing w:line="360" w:lineRule="auto"/>
        <w:jc w:val="center"/>
        <w:outlineLvl w:val="0"/>
        <w:rPr>
          <w:rFonts w:hint="eastAsia" w:ascii="宋体" w:hAnsi="宋体" w:eastAsia="宋体"/>
          <w:b/>
          <w:color w:val="auto"/>
          <w:sz w:val="28"/>
          <w:highlight w:val="none"/>
        </w:rPr>
      </w:pPr>
      <w:bookmarkStart w:id="1" w:name="_Toc23443"/>
      <w:r>
        <w:rPr>
          <w:rFonts w:hint="eastAsia" w:ascii="宋体" w:hAnsi="宋体" w:eastAsia="宋体"/>
          <w:b/>
          <w:color w:val="auto"/>
          <w:sz w:val="28"/>
          <w:highlight w:val="none"/>
          <w:lang w:val="en-US" w:eastAsia="zh-CN"/>
        </w:rPr>
        <w:t xml:space="preserve">第一章 </w:t>
      </w:r>
      <w:r>
        <w:rPr>
          <w:rFonts w:hint="eastAsia" w:ascii="宋体" w:hAnsi="宋体" w:eastAsia="宋体"/>
          <w:b/>
          <w:color w:val="auto"/>
          <w:sz w:val="28"/>
          <w:highlight w:val="none"/>
        </w:rPr>
        <w:t>投标邀请</w:t>
      </w:r>
      <w:bookmarkEnd w:id="1"/>
    </w:p>
    <w:p w14:paraId="1A65579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项目概况</w:t>
      </w:r>
    </w:p>
    <w:p w14:paraId="31EF59B2">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宋体" w:hAnsi="宋体" w:eastAsia="宋体"/>
          <w:b/>
          <w:color w:val="auto"/>
          <w:sz w:val="28"/>
          <w:highlight w:val="none"/>
        </w:rPr>
      </w:pPr>
      <w:r>
        <w:rPr>
          <w:rFonts w:hint="eastAsia" w:ascii="宋体" w:hAnsi="宋体" w:eastAsia="宋体"/>
          <w:color w:val="auto"/>
          <w:sz w:val="24"/>
          <w:highlight w:val="none"/>
          <w:u w:val="single"/>
          <w:lang w:eastAsia="zh-CN"/>
        </w:rPr>
        <w:t>滁州市第一人民医院2025-2027年法律顾问服务项目</w:t>
      </w:r>
      <w:r>
        <w:rPr>
          <w:rFonts w:hint="eastAsia" w:ascii="宋体" w:hAnsi="宋体" w:eastAsia="宋体"/>
          <w:color w:val="auto"/>
          <w:sz w:val="24"/>
          <w:highlight w:val="none"/>
        </w:rPr>
        <w:t>招标项目的潜在投标人应在</w:t>
      </w:r>
      <w:r>
        <w:rPr>
          <w:rFonts w:hint="eastAsia" w:ascii="宋体" w:hAnsi="宋体" w:eastAsia="宋体"/>
          <w:color w:val="auto"/>
          <w:sz w:val="24"/>
          <w:highlight w:val="none"/>
          <w:u w:val="single"/>
          <w:lang w:eastAsia="zh-CN"/>
        </w:rPr>
        <w:t>滁州市第一人民医院</w:t>
      </w:r>
      <w:r>
        <w:rPr>
          <w:rFonts w:hint="eastAsia" w:ascii="宋体" w:hAnsi="宋体" w:eastAsia="宋体"/>
          <w:color w:val="auto"/>
          <w:sz w:val="24"/>
          <w:highlight w:val="none"/>
          <w:u w:val="single"/>
        </w:rPr>
        <w:t>网（</w:t>
      </w:r>
      <w:r>
        <w:rPr>
          <w:rFonts w:hint="eastAsia" w:ascii="宋体" w:hAnsi="宋体" w:eastAsia="宋体"/>
          <w:color w:val="auto"/>
          <w:sz w:val="24"/>
          <w:highlight w:val="none"/>
          <w:u w:val="single"/>
          <w:lang w:eastAsia="zh-CN"/>
        </w:rPr>
        <w:t>https://www.czsey.com/</w:t>
      </w:r>
      <w:r>
        <w:rPr>
          <w:rFonts w:hint="eastAsia" w:ascii="宋体" w:hAnsi="宋体" w:eastAsia="宋体"/>
          <w:color w:val="auto"/>
          <w:sz w:val="24"/>
          <w:highlight w:val="none"/>
          <w:u w:val="single"/>
        </w:rPr>
        <w:t>）</w:t>
      </w:r>
      <w:r>
        <w:rPr>
          <w:rFonts w:hint="eastAsia" w:ascii="宋体" w:hAnsi="宋体" w:eastAsia="宋体"/>
          <w:color w:val="auto"/>
          <w:sz w:val="24"/>
          <w:highlight w:val="none"/>
        </w:rPr>
        <w:t>获取招标文件，并于</w:t>
      </w:r>
      <w:r>
        <w:rPr>
          <w:rFonts w:hint="eastAsia" w:ascii="宋体" w:hAnsi="宋体" w:eastAsia="宋体"/>
          <w:color w:val="auto"/>
          <w:sz w:val="24"/>
          <w:highlight w:val="none"/>
          <w:u w:val="single"/>
          <w:lang w:eastAsia="zh-CN"/>
        </w:rPr>
        <w:t>2025</w:t>
      </w:r>
      <w:r>
        <w:rPr>
          <w:rFonts w:hint="eastAsia" w:ascii="宋体" w:hAnsi="宋体" w:eastAsia="宋体"/>
          <w:color w:val="auto"/>
          <w:sz w:val="24"/>
          <w:highlight w:val="none"/>
          <w:u w:val="single"/>
        </w:rPr>
        <w:t>年</w:t>
      </w:r>
      <w:r>
        <w:rPr>
          <w:rFonts w:hint="eastAsia" w:ascii="宋体" w:hAnsi="宋体" w:eastAsia="宋体"/>
          <w:color w:val="auto"/>
          <w:sz w:val="24"/>
          <w:highlight w:val="none"/>
          <w:u w:val="single"/>
          <w:lang w:val="en-US" w:eastAsia="zh-CN"/>
        </w:rPr>
        <w:t>8</w:t>
      </w:r>
      <w:r>
        <w:rPr>
          <w:rFonts w:hint="eastAsia" w:ascii="宋体" w:hAnsi="宋体" w:eastAsia="宋体"/>
          <w:color w:val="auto"/>
          <w:sz w:val="24"/>
          <w:highlight w:val="none"/>
          <w:u w:val="single"/>
        </w:rPr>
        <w:t>月</w:t>
      </w:r>
      <w:r>
        <w:rPr>
          <w:rFonts w:hint="eastAsia" w:ascii="宋体" w:hAnsi="宋体" w:eastAsia="宋体"/>
          <w:color w:val="auto"/>
          <w:sz w:val="24"/>
          <w:highlight w:val="none"/>
          <w:u w:val="single"/>
          <w:lang w:val="en-US" w:eastAsia="zh-CN"/>
        </w:rPr>
        <w:t>11</w:t>
      </w:r>
      <w:r>
        <w:rPr>
          <w:rFonts w:hint="eastAsia" w:ascii="宋体" w:hAnsi="宋体" w:eastAsia="宋体"/>
          <w:color w:val="auto"/>
          <w:sz w:val="24"/>
          <w:highlight w:val="none"/>
          <w:u w:val="single"/>
        </w:rPr>
        <w:t>日</w:t>
      </w:r>
      <w:r>
        <w:rPr>
          <w:rFonts w:hint="eastAsia" w:ascii="宋体" w:hAnsi="宋体" w:eastAsia="宋体"/>
          <w:color w:val="auto"/>
          <w:sz w:val="24"/>
          <w:highlight w:val="none"/>
          <w:u w:val="single"/>
          <w:lang w:val="en-US" w:eastAsia="zh-CN"/>
        </w:rPr>
        <w:t>11</w:t>
      </w:r>
      <w:r>
        <w:rPr>
          <w:rFonts w:hint="eastAsia" w:ascii="宋体" w:hAnsi="宋体" w:eastAsia="宋体"/>
          <w:color w:val="auto"/>
          <w:sz w:val="24"/>
          <w:highlight w:val="none"/>
          <w:u w:val="single"/>
        </w:rPr>
        <w:t>点</w:t>
      </w:r>
      <w:r>
        <w:rPr>
          <w:rFonts w:hint="eastAsia" w:ascii="宋体" w:hAnsi="宋体" w:eastAsia="宋体"/>
          <w:color w:val="auto"/>
          <w:sz w:val="24"/>
          <w:highlight w:val="none"/>
          <w:u w:val="single"/>
          <w:lang w:val="en-US" w:eastAsia="zh-CN"/>
        </w:rPr>
        <w:t>3</w:t>
      </w:r>
      <w:r>
        <w:rPr>
          <w:rFonts w:hint="eastAsia" w:ascii="宋体" w:hAnsi="宋体" w:eastAsia="宋体"/>
          <w:color w:val="auto"/>
          <w:sz w:val="24"/>
          <w:highlight w:val="none"/>
          <w:u w:val="single"/>
        </w:rPr>
        <w:t>0分</w:t>
      </w:r>
      <w:r>
        <w:rPr>
          <w:rFonts w:hint="eastAsia" w:ascii="宋体" w:hAnsi="宋体" w:eastAsia="宋体"/>
          <w:color w:val="auto"/>
          <w:sz w:val="24"/>
          <w:highlight w:val="none"/>
        </w:rPr>
        <w:t>（北京时间）前递交投标文件。</w:t>
      </w:r>
    </w:p>
    <w:p w14:paraId="5B2774EC">
      <w:pPr>
        <w:spacing w:line="360" w:lineRule="auto"/>
        <w:ind w:firstLine="437"/>
        <w:outlineLvl w:val="1"/>
        <w:rPr>
          <w:rFonts w:hint="eastAsia" w:ascii="宋体" w:hAnsi="宋体" w:eastAsia="宋体"/>
          <w:b/>
          <w:bCs/>
          <w:color w:val="auto"/>
          <w:sz w:val="24"/>
          <w:szCs w:val="18"/>
          <w:highlight w:val="none"/>
        </w:rPr>
      </w:pPr>
      <w:bookmarkStart w:id="2" w:name="_Toc1381"/>
      <w:bookmarkStart w:id="3" w:name="_Toc5842"/>
      <w:r>
        <w:rPr>
          <w:rFonts w:hint="eastAsia" w:ascii="宋体" w:hAnsi="宋体" w:eastAsia="宋体"/>
          <w:b/>
          <w:bCs/>
          <w:color w:val="auto"/>
          <w:sz w:val="24"/>
          <w:szCs w:val="18"/>
          <w:highlight w:val="none"/>
        </w:rPr>
        <w:t>一、</w:t>
      </w:r>
      <w:bookmarkEnd w:id="2"/>
      <w:r>
        <w:rPr>
          <w:rFonts w:hint="eastAsia" w:ascii="宋体" w:hAnsi="宋体" w:eastAsia="宋体"/>
          <w:b/>
          <w:bCs/>
          <w:color w:val="auto"/>
          <w:sz w:val="24"/>
          <w:szCs w:val="18"/>
          <w:highlight w:val="none"/>
        </w:rPr>
        <w:t>项目基本情况</w:t>
      </w:r>
      <w:bookmarkEnd w:id="3"/>
    </w:p>
    <w:p w14:paraId="0825870C">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lang w:val="en-US" w:eastAsia="zh-CN"/>
        </w:rPr>
        <w:t>项目编号：</w:t>
      </w:r>
      <w:r>
        <w:rPr>
          <w:rFonts w:hint="eastAsia" w:ascii="宋体" w:hAnsi="宋体" w:eastAsia="宋体"/>
          <w:color w:val="auto"/>
          <w:sz w:val="24"/>
          <w:highlight w:val="none"/>
          <w:u w:val="single"/>
          <w:lang w:val="en-US" w:eastAsia="zh-CN"/>
        </w:rPr>
        <w:t>CZYY-2025-47</w:t>
      </w:r>
    </w:p>
    <w:p w14:paraId="1AD137B4">
      <w:pPr>
        <w:spacing w:line="360" w:lineRule="auto"/>
        <w:ind w:firstLine="240" w:firstLineChars="10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ascii="宋体" w:hAnsi="宋体" w:eastAsia="宋体"/>
          <w:color w:val="auto"/>
          <w:sz w:val="24"/>
          <w:highlight w:val="none"/>
          <w:u w:val="single"/>
          <w:lang w:val="en-US" w:eastAsia="zh-CN"/>
        </w:rPr>
        <w:t>滁州市第一人民医院2025-2027年法律顾问服务项目</w:t>
      </w:r>
    </w:p>
    <w:p w14:paraId="425DB5AE">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预算金额：</w:t>
      </w:r>
      <w:r>
        <w:rPr>
          <w:rFonts w:hint="eastAsia" w:ascii="宋体" w:hAnsi="宋体" w:eastAsia="宋体"/>
          <w:color w:val="auto"/>
          <w:sz w:val="24"/>
          <w:highlight w:val="none"/>
          <w:u w:val="single"/>
          <w:lang w:val="en-US" w:eastAsia="zh-CN"/>
        </w:rPr>
        <w:t>10万/年（含常年法律顾问费5万/年及诉讼/仲裁代理费）</w:t>
      </w:r>
    </w:p>
    <w:p w14:paraId="709A0A38">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rPr>
        <w:t>最高限价：</w:t>
      </w:r>
      <w:r>
        <w:rPr>
          <w:rFonts w:hint="eastAsia" w:ascii="宋体" w:hAnsi="宋体" w:eastAsia="宋体"/>
          <w:color w:val="auto"/>
          <w:sz w:val="24"/>
          <w:highlight w:val="none"/>
          <w:u w:val="single"/>
          <w:lang w:val="en-US" w:eastAsia="zh-CN"/>
        </w:rPr>
        <w:t>10万/年（详见分项报价清单），高于最高限价其投标文件按无效投标处理</w:t>
      </w:r>
    </w:p>
    <w:p w14:paraId="144E45DD">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rPr>
        <w:t>采购需求：</w:t>
      </w:r>
      <w:r>
        <w:rPr>
          <w:rFonts w:hint="eastAsia" w:ascii="宋体" w:hAnsi="宋体" w:eastAsia="宋体"/>
          <w:color w:val="auto"/>
          <w:sz w:val="24"/>
          <w:highlight w:val="none"/>
          <w:u w:val="single"/>
          <w:lang w:val="en-US" w:eastAsia="zh-CN"/>
        </w:rPr>
        <w:t>为采购人提供日常法律咨询，起草、修订、审核各类合同，审查内部规章制度，协助建立和完善内部合规制度，代理采购人交办的所有诉讼、仲裁案件，参与医疗纠纷的处理，参与采购人重大对外谈判与协商等法律服务；</w:t>
      </w:r>
    </w:p>
    <w:p w14:paraId="0666849D">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合同履行期限：</w:t>
      </w:r>
      <w:r>
        <w:rPr>
          <w:rFonts w:hint="eastAsia" w:ascii="宋体" w:hAnsi="宋体" w:eastAsia="宋体"/>
          <w:color w:val="auto"/>
          <w:sz w:val="24"/>
          <w:highlight w:val="none"/>
          <w:u w:val="single"/>
          <w:lang w:val="en-US" w:eastAsia="zh-CN"/>
        </w:rPr>
        <w:t>三年，合同一年一签，根据服务供应商履约情况及采购人考评情况，双方可续签。</w:t>
      </w:r>
    </w:p>
    <w:p w14:paraId="5A97D3C0">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不</w:t>
      </w:r>
      <w:r>
        <w:rPr>
          <w:rFonts w:hint="eastAsia" w:ascii="宋体" w:hAnsi="宋体" w:eastAsia="宋体"/>
          <w:color w:val="auto"/>
          <w:sz w:val="24"/>
          <w:highlight w:val="none"/>
        </w:rPr>
        <w:t>接受联合体投标。</w:t>
      </w:r>
    </w:p>
    <w:p w14:paraId="55155D8C">
      <w:pPr>
        <w:spacing w:line="360" w:lineRule="auto"/>
        <w:ind w:firstLine="437"/>
        <w:outlineLvl w:val="1"/>
        <w:rPr>
          <w:rFonts w:hint="eastAsia" w:ascii="宋体" w:hAnsi="宋体" w:eastAsia="宋体"/>
          <w:b/>
          <w:bCs/>
          <w:color w:val="auto"/>
          <w:sz w:val="24"/>
          <w:szCs w:val="18"/>
          <w:highlight w:val="none"/>
        </w:rPr>
      </w:pPr>
      <w:bookmarkStart w:id="4" w:name="_Toc13530"/>
      <w:bookmarkStart w:id="5" w:name="_Toc26178"/>
      <w:r>
        <w:rPr>
          <w:rFonts w:hint="eastAsia" w:ascii="宋体" w:hAnsi="宋体" w:eastAsia="宋体"/>
          <w:b/>
          <w:bCs/>
          <w:color w:val="auto"/>
          <w:sz w:val="24"/>
          <w:szCs w:val="18"/>
          <w:highlight w:val="none"/>
        </w:rPr>
        <w:t>二、</w:t>
      </w:r>
      <w:bookmarkEnd w:id="4"/>
      <w:r>
        <w:rPr>
          <w:rFonts w:hint="eastAsia" w:ascii="宋体" w:hAnsi="宋体" w:eastAsia="宋体"/>
          <w:b/>
          <w:bCs/>
          <w:color w:val="auto"/>
          <w:sz w:val="24"/>
          <w:szCs w:val="18"/>
          <w:highlight w:val="none"/>
        </w:rPr>
        <w:t>申请人的资格要求</w:t>
      </w:r>
      <w:bookmarkEnd w:id="5"/>
    </w:p>
    <w:p w14:paraId="666021CF">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1.满足《中华人民共和国政府采购法》第二十二条规定； </w:t>
      </w:r>
    </w:p>
    <w:p w14:paraId="1550F6E1">
      <w:pPr>
        <w:spacing w:line="360" w:lineRule="auto"/>
        <w:ind w:firstLine="435"/>
        <w:outlineLvl w:val="9"/>
        <w:rPr>
          <w:rFonts w:hint="default" w:ascii="宋体" w:hAnsi="宋体" w:eastAsia="宋体"/>
          <w:color w:val="auto"/>
          <w:sz w:val="24"/>
          <w:highlight w:val="none"/>
          <w:lang w:val="en-US"/>
        </w:rPr>
      </w:pPr>
      <w:r>
        <w:rPr>
          <w:rFonts w:hint="eastAsia" w:ascii="宋体" w:hAnsi="宋体" w:eastAsia="宋体"/>
          <w:color w:val="auto"/>
          <w:sz w:val="24"/>
          <w:highlight w:val="none"/>
          <w:lang w:val="en-US" w:eastAsia="zh-CN"/>
        </w:rPr>
        <w:t>2.落实政府采购政策需满足的资格要求：</w:t>
      </w:r>
      <w:r>
        <w:rPr>
          <w:rFonts w:hint="eastAsia" w:ascii="宋体" w:hAnsi="宋体" w:eastAsia="宋体" w:cs="宋体"/>
          <w:sz w:val="24"/>
          <w:szCs w:val="24"/>
          <w:highlight w:val="none"/>
          <w:u w:val="single"/>
          <w:shd w:val="clear" w:color="auto" w:fill="FFFFFF"/>
          <w:lang w:val="en-US" w:eastAsia="zh-CN"/>
        </w:rPr>
        <w:t>无</w:t>
      </w:r>
      <w:r>
        <w:rPr>
          <w:rFonts w:hint="eastAsia" w:ascii="宋体" w:hAnsi="宋体" w:eastAsia="宋体"/>
          <w:color w:val="auto"/>
          <w:sz w:val="24"/>
          <w:highlight w:val="none"/>
          <w:lang w:val="en-US" w:eastAsia="zh-CN"/>
        </w:rPr>
        <w:t>；</w:t>
      </w:r>
    </w:p>
    <w:p w14:paraId="07497B5C">
      <w:pPr>
        <w:spacing w:line="360" w:lineRule="auto"/>
        <w:ind w:firstLine="435"/>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3.本项目的特定资格要求：</w:t>
      </w:r>
      <w:r>
        <w:rPr>
          <w:rFonts w:hint="eastAsia" w:ascii="宋体" w:hAnsi="宋体" w:eastAsia="宋体"/>
          <w:color w:val="auto"/>
          <w:sz w:val="24"/>
          <w:highlight w:val="none"/>
          <w:u w:val="single"/>
          <w:lang w:val="en-US" w:eastAsia="zh-CN"/>
        </w:rPr>
        <w:t>供应商须具有有效的营业执照、税务登记证、组织机构代码证（或三证合一的证书）；</w:t>
      </w:r>
    </w:p>
    <w:p w14:paraId="6007F5CA">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4.信誉要求：投标人不得存在以下情形： </w:t>
      </w:r>
    </w:p>
    <w:p w14:paraId="6E519696">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①投标人被人民法院列入失信被执行人的； </w:t>
      </w:r>
    </w:p>
    <w:p w14:paraId="3411EFE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②投标人或其法定代表人或拟派项目经理（项目负责人）前三年有行贿犯罪行为的； </w:t>
      </w:r>
    </w:p>
    <w:p w14:paraId="6A8DA32B">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③投标人被市场监督管理部门列入经营异常名录或者严重违法企业名单，且未被移除的； </w:t>
      </w:r>
    </w:p>
    <w:p w14:paraId="69D442E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④投标人被税务部门列入重大税收违法案件当事人的； </w:t>
      </w:r>
    </w:p>
    <w:p w14:paraId="102AFF1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⑤投标人被政府采购监管部门列入政府采购严重违法失信行为记录名单的； </w:t>
      </w:r>
    </w:p>
    <w:p w14:paraId="257BAE66">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⑥在“信用中国”网站上披露仍在公示期的严重失信行为的。 </w:t>
      </w:r>
    </w:p>
    <w:p w14:paraId="50467E67">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5.投标人所属分公司、办事处等分支机构存在第 4 款信誉要求①-⑥项 情形之一的，接受投标人参加本项目。 </w:t>
      </w:r>
    </w:p>
    <w:p w14:paraId="17AC7957">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备注：第 4、5 条按照“关于联合惩戒失信行为加强信用查询管理的通知”查询或承诺。</w:t>
      </w:r>
    </w:p>
    <w:p w14:paraId="2F0ADDD5">
      <w:pPr>
        <w:spacing w:line="360" w:lineRule="auto"/>
        <w:ind w:firstLine="437"/>
        <w:outlineLvl w:val="1"/>
        <w:rPr>
          <w:rFonts w:hint="eastAsia" w:ascii="宋体" w:hAnsi="宋体" w:eastAsia="宋体"/>
          <w:b/>
          <w:bCs/>
          <w:color w:val="auto"/>
          <w:sz w:val="24"/>
          <w:szCs w:val="18"/>
          <w:highlight w:val="none"/>
        </w:rPr>
      </w:pPr>
      <w:bookmarkStart w:id="6" w:name="_Toc30110"/>
      <w:bookmarkStart w:id="7" w:name="_Toc32089"/>
      <w:r>
        <w:rPr>
          <w:rFonts w:hint="eastAsia" w:ascii="宋体" w:hAnsi="宋体" w:eastAsia="宋体"/>
          <w:b/>
          <w:bCs/>
          <w:color w:val="auto"/>
          <w:sz w:val="24"/>
          <w:szCs w:val="18"/>
          <w:highlight w:val="none"/>
        </w:rPr>
        <w:t>三、</w:t>
      </w:r>
      <w:bookmarkEnd w:id="6"/>
      <w:r>
        <w:rPr>
          <w:rFonts w:hint="eastAsia" w:ascii="宋体" w:hAnsi="宋体" w:eastAsia="宋体"/>
          <w:b/>
          <w:bCs/>
          <w:color w:val="auto"/>
          <w:sz w:val="24"/>
          <w:szCs w:val="18"/>
          <w:highlight w:val="none"/>
        </w:rPr>
        <w:t>获取招标文件</w:t>
      </w:r>
      <w:bookmarkEnd w:id="7"/>
    </w:p>
    <w:p w14:paraId="4CFCF87F">
      <w:pPr>
        <w:spacing w:line="360" w:lineRule="auto"/>
        <w:ind w:firstLine="540"/>
        <w:rPr>
          <w:rFonts w:hint="eastAsia" w:ascii="宋体" w:hAnsi="宋体" w:eastAsia="宋体" w:cs="宋体"/>
          <w:i/>
          <w:iCs/>
          <w:sz w:val="24"/>
          <w:szCs w:val="24"/>
          <w:highlight w:val="none"/>
        </w:rPr>
      </w:pPr>
      <w:bookmarkStart w:id="8" w:name="_Toc7957"/>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8</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8</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none"/>
        </w:rPr>
        <w:t>日</w:t>
      </w:r>
    </w:p>
    <w:p w14:paraId="260E6431">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default" w:ascii="宋体" w:hAnsi="宋体" w:eastAsia="宋体"/>
          <w:color w:val="auto"/>
          <w:sz w:val="24"/>
          <w:szCs w:val="18"/>
          <w:highlight w:val="none"/>
          <w:u w:val="single"/>
          <w:lang w:val="en-US" w:eastAsia="zh-CN"/>
        </w:rPr>
      </w:pPr>
      <w:r>
        <w:rPr>
          <w:rFonts w:hint="eastAsia" w:ascii="宋体" w:hAnsi="宋体" w:eastAsia="宋体" w:cs="宋体"/>
          <w:sz w:val="24"/>
          <w:szCs w:val="24"/>
          <w:highlight w:val="none"/>
        </w:rPr>
        <w:t>地点：</w:t>
      </w:r>
      <w:r>
        <w:rPr>
          <w:rFonts w:hint="eastAsia" w:ascii="宋体" w:hAnsi="宋体" w:eastAsia="宋体"/>
          <w:color w:val="auto"/>
          <w:sz w:val="24"/>
          <w:szCs w:val="18"/>
          <w:highlight w:val="none"/>
          <w:u w:val="single"/>
          <w:lang w:val="en-US" w:eastAsia="zh-CN"/>
        </w:rPr>
        <w:t>滁州市第一人民医院官网</w:t>
      </w:r>
    </w:p>
    <w:p w14:paraId="56FB2AAB">
      <w:pPr>
        <w:spacing w:line="360" w:lineRule="auto"/>
        <w:ind w:firstLine="54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方式：</w:t>
      </w:r>
      <w:r>
        <w:rPr>
          <w:rFonts w:hint="eastAsia" w:ascii="宋体" w:hAnsi="宋体" w:eastAsia="宋体" w:cs="宋体"/>
          <w:sz w:val="24"/>
          <w:szCs w:val="24"/>
          <w:highlight w:val="none"/>
          <w:u w:val="single"/>
          <w:lang w:val="en-US" w:eastAsia="zh-CN"/>
        </w:rPr>
        <w:t>网上自行下载</w:t>
      </w:r>
    </w:p>
    <w:p w14:paraId="0F72B22C">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9" w:name="_Toc19726"/>
      <w:r>
        <w:rPr>
          <w:rFonts w:hint="eastAsia" w:ascii="宋体" w:hAnsi="宋体" w:eastAsia="宋体"/>
          <w:b/>
          <w:bCs/>
          <w:color w:val="auto"/>
          <w:sz w:val="24"/>
          <w:szCs w:val="18"/>
          <w:highlight w:val="none"/>
        </w:rPr>
        <w:t>四、</w:t>
      </w:r>
      <w:bookmarkEnd w:id="8"/>
      <w:r>
        <w:rPr>
          <w:rFonts w:hint="eastAsia" w:ascii="宋体" w:hAnsi="宋体" w:eastAsia="宋体"/>
          <w:b/>
          <w:bCs/>
          <w:color w:val="auto"/>
          <w:sz w:val="24"/>
          <w:szCs w:val="18"/>
          <w:highlight w:val="none"/>
        </w:rPr>
        <w:t>提交投标文件截止时间、开标时间和地点</w:t>
      </w:r>
      <w:bookmarkEnd w:id="9"/>
    </w:p>
    <w:p w14:paraId="686CCB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bookmarkStart w:id="10" w:name="_Toc5082"/>
      <w:r>
        <w:rPr>
          <w:rFonts w:hint="eastAsia" w:ascii="宋体" w:hAnsi="宋体" w:eastAsia="宋体" w:cs="宋体"/>
          <w:sz w:val="24"/>
          <w:szCs w:val="24"/>
          <w:highlight w:val="none"/>
          <w:lang w:val="en-US" w:eastAsia="zh-CN"/>
        </w:rPr>
        <w:t>投标截止时间：2025年8月11日15点00分（北京时间）</w:t>
      </w:r>
    </w:p>
    <w:p w14:paraId="16796D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地点：滁州市第一人民医院南区行政楼五楼西招标办</w:t>
      </w:r>
    </w:p>
    <w:p w14:paraId="5B41C7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注：各投标人可以采用直接送达或邮寄的方式，递交时间以直接送达或快递送达的时间为准，逾期不予接收</w:t>
      </w:r>
    </w:p>
    <w:p w14:paraId="268C345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1" w:name="_Toc28531"/>
      <w:r>
        <w:rPr>
          <w:rFonts w:hint="eastAsia" w:ascii="宋体" w:hAnsi="宋体" w:eastAsia="宋体"/>
          <w:b/>
          <w:bCs/>
          <w:color w:val="auto"/>
          <w:sz w:val="24"/>
          <w:szCs w:val="18"/>
          <w:highlight w:val="none"/>
        </w:rPr>
        <w:t>五、</w:t>
      </w:r>
      <w:bookmarkEnd w:id="10"/>
      <w:r>
        <w:rPr>
          <w:rFonts w:hint="eastAsia" w:ascii="宋体" w:hAnsi="宋体" w:eastAsia="宋体"/>
          <w:b/>
          <w:bCs/>
          <w:color w:val="auto"/>
          <w:sz w:val="24"/>
          <w:szCs w:val="18"/>
          <w:highlight w:val="none"/>
        </w:rPr>
        <w:t>公告期限</w:t>
      </w:r>
      <w:bookmarkEnd w:id="11"/>
    </w:p>
    <w:p w14:paraId="013AE3E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2" w:name="_Toc1215"/>
      <w:r>
        <w:rPr>
          <w:rFonts w:hint="eastAsia" w:ascii="宋体" w:hAnsi="宋体" w:eastAsia="宋体"/>
          <w:b w:val="0"/>
          <w:bCs w:val="0"/>
          <w:color w:val="auto"/>
          <w:sz w:val="24"/>
          <w:szCs w:val="18"/>
          <w:highlight w:val="none"/>
        </w:rPr>
        <w:t>自本公告发布之日起5个工作日。</w:t>
      </w:r>
    </w:p>
    <w:p w14:paraId="1DCE150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3" w:name="_Toc35393795"/>
      <w:bookmarkStart w:id="14" w:name="_Toc35393626"/>
      <w:bookmarkStart w:id="15" w:name="_Toc8807"/>
      <w:r>
        <w:rPr>
          <w:rFonts w:hint="eastAsia" w:ascii="宋体" w:hAnsi="宋体" w:eastAsia="宋体"/>
          <w:b/>
          <w:bCs/>
          <w:color w:val="auto"/>
          <w:sz w:val="24"/>
          <w:szCs w:val="18"/>
          <w:highlight w:val="none"/>
        </w:rPr>
        <w:t>六、其他补充事宜</w:t>
      </w:r>
      <w:bookmarkEnd w:id="13"/>
      <w:bookmarkEnd w:id="14"/>
      <w:bookmarkEnd w:id="15"/>
    </w:p>
    <w:bookmarkEnd w:id="12"/>
    <w:p w14:paraId="3120789B">
      <w:pPr>
        <w:spacing w:line="360" w:lineRule="auto"/>
        <w:ind w:firstLine="437"/>
        <w:outlineLvl w:val="1"/>
        <w:rPr>
          <w:rFonts w:hint="eastAsia" w:ascii="宋体" w:hAnsi="宋体" w:eastAsia="宋体"/>
          <w:color w:val="auto"/>
          <w:sz w:val="24"/>
          <w:szCs w:val="18"/>
          <w:highlight w:val="none"/>
          <w:lang w:val="en-US" w:eastAsia="zh-CN"/>
        </w:rPr>
      </w:pPr>
      <w:bookmarkStart w:id="16" w:name="_Toc7265"/>
      <w:bookmarkStart w:id="17" w:name="_Toc3854"/>
      <w:r>
        <w:rPr>
          <w:rFonts w:hint="eastAsia" w:ascii="宋体" w:hAnsi="宋体" w:eastAsia="宋体"/>
          <w:color w:val="auto"/>
          <w:sz w:val="24"/>
          <w:szCs w:val="18"/>
          <w:highlight w:val="none"/>
          <w:lang w:val="en-US" w:eastAsia="zh-CN"/>
        </w:rPr>
        <w:t>无</w:t>
      </w:r>
    </w:p>
    <w:p w14:paraId="52F6A0D7">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6"/>
      <w:r>
        <w:rPr>
          <w:rFonts w:hint="eastAsia" w:ascii="宋体" w:hAnsi="宋体" w:eastAsia="宋体"/>
          <w:b/>
          <w:bCs/>
          <w:color w:val="auto"/>
          <w:sz w:val="24"/>
          <w:szCs w:val="18"/>
          <w:highlight w:val="none"/>
        </w:rPr>
        <w:t>对本次招标提出询问，请按以下方式联系</w:t>
      </w:r>
      <w:bookmarkEnd w:id="17"/>
    </w:p>
    <w:p w14:paraId="3E7AA98A">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0CCA4FBF">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滁州市第一人民医院</w:t>
      </w:r>
    </w:p>
    <w:p w14:paraId="72357814">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lang w:eastAsia="zh-CN"/>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滁州市清流中路1401号</w:t>
      </w:r>
    </w:p>
    <w:p w14:paraId="1BF948D0">
      <w:pPr>
        <w:spacing w:line="360" w:lineRule="auto"/>
        <w:ind w:firstLine="435"/>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招标办</w:t>
      </w:r>
    </w:p>
    <w:p w14:paraId="636452E9">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0550-3526032</w:t>
      </w:r>
    </w:p>
    <w:p w14:paraId="35F25353">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6C69A8B8">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江苏川页工程项目管理有限公司</w:t>
      </w:r>
    </w:p>
    <w:p w14:paraId="57287162">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s="宋体"/>
          <w:i w:val="0"/>
          <w:iCs w:val="0"/>
          <w:caps w:val="0"/>
          <w:color w:val="333333"/>
          <w:spacing w:val="0"/>
          <w:sz w:val="24"/>
          <w:szCs w:val="24"/>
          <w:highlight w:val="none"/>
          <w:u w:val="single"/>
          <w:shd w:val="clear" w:color="auto" w:fill="FFFFFF"/>
        </w:rPr>
        <w:t>滁州市世贸大厦A座18楼1818</w:t>
      </w:r>
    </w:p>
    <w:p w14:paraId="13FE259C">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赵建飞</w:t>
      </w:r>
    </w:p>
    <w:p w14:paraId="2D4B14C3">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18755018236</w:t>
      </w:r>
    </w:p>
    <w:p w14:paraId="7D72CDF4">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2FA36E1C">
      <w:pPr>
        <w:spacing w:line="360" w:lineRule="auto"/>
        <w:jc w:val="center"/>
        <w:outlineLvl w:val="0"/>
        <w:rPr>
          <w:rFonts w:ascii="宋体" w:hAnsi="宋体" w:eastAsia="宋体"/>
          <w:b/>
          <w:color w:val="auto"/>
          <w:sz w:val="28"/>
          <w:highlight w:val="none"/>
        </w:rPr>
      </w:pPr>
      <w:bookmarkStart w:id="18" w:name="_Toc31935"/>
      <w:r>
        <w:rPr>
          <w:rFonts w:hint="eastAsia" w:ascii="宋体" w:hAnsi="宋体" w:eastAsia="宋体"/>
          <w:b/>
          <w:color w:val="auto"/>
          <w:sz w:val="28"/>
          <w:highlight w:val="none"/>
        </w:rPr>
        <w:t>第二章</w:t>
      </w:r>
      <w:r>
        <w:rPr>
          <w:rFonts w:ascii="宋体" w:hAnsi="宋体" w:eastAsia="宋体"/>
          <w:b/>
          <w:color w:val="auto"/>
          <w:sz w:val="28"/>
          <w:highlight w:val="none"/>
        </w:rPr>
        <w:t xml:space="preserve"> </w:t>
      </w:r>
      <w:r>
        <w:rPr>
          <w:rFonts w:hint="eastAsia" w:ascii="宋体" w:hAnsi="宋体" w:eastAsia="宋体"/>
          <w:b/>
          <w:color w:val="auto"/>
          <w:sz w:val="28"/>
          <w:highlight w:val="none"/>
        </w:rPr>
        <w:t xml:space="preserve"> </w:t>
      </w:r>
      <w:r>
        <w:rPr>
          <w:rFonts w:ascii="宋体" w:hAnsi="宋体" w:eastAsia="宋体"/>
          <w:b/>
          <w:color w:val="auto"/>
          <w:sz w:val="28"/>
          <w:highlight w:val="none"/>
        </w:rPr>
        <w:t>投标人须知</w:t>
      </w:r>
      <w:bookmarkEnd w:id="18"/>
    </w:p>
    <w:p w14:paraId="1EED2853">
      <w:pPr>
        <w:spacing w:line="360" w:lineRule="auto"/>
        <w:jc w:val="center"/>
        <w:outlineLvl w:val="1"/>
        <w:rPr>
          <w:rFonts w:ascii="宋体" w:hAnsi="宋体" w:eastAsia="宋体"/>
          <w:b/>
          <w:color w:val="auto"/>
          <w:sz w:val="24"/>
          <w:highlight w:val="none"/>
        </w:rPr>
      </w:pPr>
      <w:bookmarkStart w:id="19" w:name="_Toc7178"/>
      <w:bookmarkStart w:id="20" w:name="_Toc3114"/>
      <w:r>
        <w:rPr>
          <w:rFonts w:hint="eastAsia" w:ascii="宋体" w:hAnsi="宋体" w:eastAsia="宋体"/>
          <w:b/>
          <w:color w:val="auto"/>
          <w:sz w:val="24"/>
          <w:highlight w:val="none"/>
        </w:rPr>
        <w:t>一、</w:t>
      </w:r>
      <w:r>
        <w:rPr>
          <w:rFonts w:ascii="宋体" w:hAnsi="宋体" w:eastAsia="宋体"/>
          <w:b/>
          <w:color w:val="auto"/>
          <w:sz w:val="24"/>
          <w:highlight w:val="none"/>
        </w:rPr>
        <w:t>投标人须知前附表</w:t>
      </w:r>
      <w:bookmarkEnd w:id="19"/>
      <w:bookmarkEnd w:id="20"/>
    </w:p>
    <w:p w14:paraId="02B5E420">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2"/>
        <w:tblW w:w="58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2132"/>
        <w:gridCol w:w="6779"/>
      </w:tblGrid>
      <w:tr w14:paraId="26DC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6CF62EFF">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075" w:type="pct"/>
            <w:vAlign w:val="center"/>
          </w:tcPr>
          <w:p w14:paraId="1CA214A0">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418" w:type="pct"/>
            <w:vAlign w:val="center"/>
          </w:tcPr>
          <w:p w14:paraId="17C6ECB3">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784A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10D3D48D">
            <w:pPr>
              <w:pStyle w:val="3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075" w:type="pct"/>
            <w:vAlign w:val="center"/>
          </w:tcPr>
          <w:p w14:paraId="1A58A27B">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418" w:type="pct"/>
            <w:vAlign w:val="center"/>
          </w:tcPr>
          <w:p w14:paraId="355F9FB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542AF5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6A7C544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59FBBB7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37FB55D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3E53C0F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7578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3FAF453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075" w:type="pct"/>
            <w:vAlign w:val="center"/>
          </w:tcPr>
          <w:p w14:paraId="0DC847CB">
            <w:pPr>
              <w:pStyle w:val="30"/>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418" w:type="pct"/>
            <w:vAlign w:val="center"/>
          </w:tcPr>
          <w:p w14:paraId="1C949E3E">
            <w:pPr>
              <w:pStyle w:val="30"/>
              <w:widowControl w:val="0"/>
              <w:spacing w:before="0" w:beforeAutospacing="0" w:after="0" w:afterAutospacing="0"/>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2025</w:t>
            </w:r>
            <w:r>
              <w:rPr>
                <w:rFonts w:ascii="宋体" w:hAnsi="宋体" w:eastAsia="宋体"/>
                <w:b w:val="0"/>
                <w:color w:val="auto"/>
                <w:sz w:val="24"/>
                <w:highlight w:val="none"/>
              </w:rPr>
              <w:t>年</w:t>
            </w:r>
            <w:r>
              <w:rPr>
                <w:rFonts w:hint="eastAsia" w:ascii="宋体" w:hAnsi="宋体" w:eastAsia="宋体"/>
                <w:b w:val="0"/>
                <w:color w:val="auto"/>
                <w:sz w:val="24"/>
                <w:highlight w:val="none"/>
                <w:u w:val="single"/>
                <w:lang w:val="en-US" w:eastAsia="zh-CN"/>
              </w:rPr>
              <w:t>8</w:t>
            </w:r>
            <w:r>
              <w:rPr>
                <w:rFonts w:ascii="宋体" w:hAnsi="宋体" w:eastAsia="宋体"/>
                <w:b w:val="0"/>
                <w:color w:val="auto"/>
                <w:sz w:val="24"/>
                <w:highlight w:val="none"/>
              </w:rPr>
              <w:t>月</w:t>
            </w:r>
            <w:r>
              <w:rPr>
                <w:rFonts w:hint="eastAsia" w:ascii="宋体" w:hAnsi="宋体" w:eastAsia="宋体"/>
                <w:b w:val="0"/>
                <w:color w:val="auto"/>
                <w:sz w:val="24"/>
                <w:highlight w:val="none"/>
                <w:u w:val="single"/>
                <w:lang w:val="en-US" w:eastAsia="zh-CN"/>
              </w:rPr>
              <w:t>7</w:t>
            </w:r>
            <w:r>
              <w:rPr>
                <w:rFonts w:ascii="宋体" w:hAnsi="宋体" w:eastAsia="宋体"/>
                <w:b w:val="0"/>
                <w:color w:val="auto"/>
                <w:sz w:val="24"/>
                <w:highlight w:val="none"/>
              </w:rPr>
              <w:t>日</w:t>
            </w:r>
            <w:r>
              <w:rPr>
                <w:rFonts w:hint="eastAsia" w:ascii="宋体" w:hAnsi="宋体" w:eastAsia="宋体"/>
                <w:b w:val="0"/>
                <w:color w:val="auto"/>
                <w:sz w:val="24"/>
                <w:highlight w:val="none"/>
                <w:u w:val="single"/>
                <w:lang w:val="en-US" w:eastAsia="zh-CN"/>
              </w:rPr>
              <w:t>17</w:t>
            </w:r>
            <w:r>
              <w:rPr>
                <w:rFonts w:ascii="宋体" w:hAnsi="宋体" w:eastAsia="宋体"/>
                <w:b w:val="0"/>
                <w:color w:val="auto"/>
                <w:sz w:val="24"/>
                <w:highlight w:val="none"/>
              </w:rPr>
              <w:t>时</w:t>
            </w:r>
            <w:r>
              <w:rPr>
                <w:rFonts w:hint="eastAsia" w:ascii="宋体" w:hAnsi="宋体" w:eastAsia="宋体"/>
                <w:b w:val="0"/>
                <w:color w:val="auto"/>
                <w:sz w:val="24"/>
                <w:highlight w:val="none"/>
                <w:u w:val="single"/>
                <w:lang w:val="en-US" w:eastAsia="zh-CN"/>
              </w:rPr>
              <w:t>00</w:t>
            </w:r>
            <w:r>
              <w:rPr>
                <w:rFonts w:hint="eastAsia" w:ascii="宋体" w:hAnsi="宋体" w:eastAsia="宋体"/>
                <w:b w:val="0"/>
                <w:color w:val="auto"/>
                <w:sz w:val="24"/>
                <w:highlight w:val="none"/>
              </w:rPr>
              <w:t>分</w:t>
            </w:r>
          </w:p>
        </w:tc>
      </w:tr>
      <w:tr w14:paraId="372C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21CD7F9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075" w:type="pct"/>
            <w:vAlign w:val="center"/>
          </w:tcPr>
          <w:p w14:paraId="4CFCE116">
            <w:pPr>
              <w:pStyle w:val="30"/>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418" w:type="pct"/>
            <w:vAlign w:val="center"/>
          </w:tcPr>
          <w:p w14:paraId="6900DCBA">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 xml:space="preserve">不分包     </w:t>
            </w:r>
            <w:r>
              <w:rPr>
                <w:rFonts w:hint="eastAsia" w:ascii="宋体" w:hAnsi="宋体" w:eastAsia="宋体"/>
                <w:b w:val="0"/>
                <w:color w:val="auto"/>
                <w:sz w:val="24"/>
                <w:highlight w:val="none"/>
                <w:lang w:eastAsia="zh-CN"/>
              </w:rPr>
              <w:t>□</w:t>
            </w:r>
            <w:r>
              <w:rPr>
                <w:rFonts w:ascii="宋体" w:hAnsi="宋体" w:eastAsia="宋体"/>
                <w:b w:val="0"/>
                <w:color w:val="auto"/>
                <w:sz w:val="24"/>
                <w:highlight w:val="none"/>
              </w:rPr>
              <w:t>分为  个包</w:t>
            </w:r>
          </w:p>
          <w:p w14:paraId="3FA6F381">
            <w:pPr>
              <w:pStyle w:val="30"/>
              <w:widowControl w:val="0"/>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2928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05" w:type="pct"/>
            <w:vAlign w:val="center"/>
          </w:tcPr>
          <w:p w14:paraId="6DC3F7B1">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1075" w:type="pct"/>
            <w:vAlign w:val="center"/>
          </w:tcPr>
          <w:p w14:paraId="739FEC8A">
            <w:pPr>
              <w:pStyle w:val="30"/>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418" w:type="pct"/>
            <w:vAlign w:val="center"/>
          </w:tcPr>
          <w:p w14:paraId="1BFA8CAF">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6FA8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4ED92752">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1075" w:type="pct"/>
            <w:vAlign w:val="center"/>
          </w:tcPr>
          <w:p w14:paraId="00F7B87B">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418" w:type="pct"/>
            <w:vAlign w:val="center"/>
          </w:tcPr>
          <w:p w14:paraId="43E29C2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60</w:t>
            </w:r>
            <w:r>
              <w:rPr>
                <w:rFonts w:hint="eastAsia" w:ascii="宋体" w:hAnsi="宋体" w:eastAsia="宋体"/>
                <w:b w:val="0"/>
                <w:color w:val="auto"/>
                <w:sz w:val="24"/>
                <w:highlight w:val="none"/>
              </w:rPr>
              <w:t>日历日</w:t>
            </w:r>
          </w:p>
        </w:tc>
      </w:tr>
      <w:tr w14:paraId="12DD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336F02BD">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1075" w:type="pct"/>
            <w:vAlign w:val="center"/>
          </w:tcPr>
          <w:p w14:paraId="0A32A12D">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418" w:type="pct"/>
            <w:vAlign w:val="center"/>
          </w:tcPr>
          <w:p w14:paraId="45E6257F">
            <w:pPr>
              <w:pStyle w:val="30"/>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3A2035D9">
            <w:pPr>
              <w:pStyle w:val="30"/>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1DED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7144B46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1075" w:type="pct"/>
            <w:vAlign w:val="center"/>
          </w:tcPr>
          <w:p w14:paraId="1677AFE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418" w:type="pct"/>
            <w:vAlign w:val="center"/>
          </w:tcPr>
          <w:p w14:paraId="45B98FA6">
            <w:pPr>
              <w:pStyle w:val="30"/>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最低评标价法</w:t>
            </w:r>
          </w:p>
          <w:p w14:paraId="5DBBDEF4">
            <w:pPr>
              <w:pStyle w:val="30"/>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lang w:val="en-US" w:eastAsia="zh-CN"/>
              </w:rPr>
              <w:t>综合评分</w:t>
            </w:r>
            <w:r>
              <w:rPr>
                <w:rFonts w:hint="eastAsia" w:ascii="宋体" w:hAnsi="宋体" w:eastAsia="宋体"/>
                <w:b w:val="0"/>
                <w:color w:val="auto"/>
                <w:sz w:val="24"/>
                <w:highlight w:val="none"/>
                <w:u w:val="none"/>
                <w:lang w:eastAsia="zh-CN"/>
              </w:rPr>
              <w:t>法</w:t>
            </w:r>
          </w:p>
        </w:tc>
      </w:tr>
      <w:tr w14:paraId="476E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4A3A849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075" w:type="pct"/>
            <w:vAlign w:val="center"/>
          </w:tcPr>
          <w:p w14:paraId="3C9EEFD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418" w:type="pct"/>
            <w:vAlign w:val="center"/>
          </w:tcPr>
          <w:p w14:paraId="126EA0E6">
            <w:pPr>
              <w:keepNext w:val="0"/>
              <w:keepLines w:val="0"/>
              <w:widowControl/>
              <w:suppressLineNumbers w:val="0"/>
              <w:jc w:val="left"/>
              <w:rPr>
                <w:rFonts w:ascii="宋体" w:hAnsi="宋体" w:eastAsia="宋体"/>
                <w:b w:val="0"/>
                <w:color w:val="auto"/>
                <w:sz w:val="24"/>
                <w:highlight w:val="none"/>
                <w:u w:val="single"/>
              </w:rPr>
            </w:pPr>
            <w:r>
              <w:rPr>
                <w:rFonts w:hint="eastAsia" w:ascii="宋体" w:hAnsi="宋体" w:eastAsia="宋体" w:cs="宋体"/>
                <w:color w:val="000000"/>
                <w:kern w:val="0"/>
                <w:sz w:val="24"/>
                <w:szCs w:val="24"/>
                <w:highlight w:val="none"/>
                <w:lang w:val="en-US" w:eastAsia="zh-CN"/>
              </w:rPr>
              <w:t>评标委员会推荐 3 名中标候选人</w:t>
            </w:r>
          </w:p>
        </w:tc>
      </w:tr>
      <w:tr w14:paraId="3A2B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14F14C53">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075" w:type="pct"/>
            <w:vAlign w:val="center"/>
          </w:tcPr>
          <w:p w14:paraId="7E85FE1B">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418" w:type="pct"/>
            <w:vAlign w:val="center"/>
          </w:tcPr>
          <w:p w14:paraId="20FAFD3A">
            <w:pPr>
              <w:spacing w:line="360" w:lineRule="auto"/>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采购人委托评标委员会确定</w:t>
            </w:r>
          </w:p>
          <w:p w14:paraId="5D54DC98">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kern w:val="2"/>
                <w:sz w:val="24"/>
                <w:szCs w:val="24"/>
                <w:highlight w:val="none"/>
                <w:lang w:eastAsia="zh-CN"/>
              </w:rPr>
              <w:t>□</w:t>
            </w:r>
            <w:r>
              <w:rPr>
                <w:rFonts w:hint="eastAsia" w:ascii="宋体" w:hAnsi="宋体" w:eastAsia="宋体"/>
                <w:b w:val="0"/>
                <w:bCs w:val="0"/>
                <w:color w:val="auto"/>
                <w:kern w:val="2"/>
                <w:sz w:val="24"/>
                <w:szCs w:val="24"/>
                <w:highlight w:val="none"/>
              </w:rPr>
              <w:t>采购人确定</w:t>
            </w:r>
          </w:p>
        </w:tc>
      </w:tr>
      <w:tr w14:paraId="5B05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6CA73637">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1075" w:type="pct"/>
            <w:vAlign w:val="center"/>
          </w:tcPr>
          <w:p w14:paraId="217540ED">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418" w:type="pct"/>
            <w:vAlign w:val="center"/>
          </w:tcPr>
          <w:p w14:paraId="050FCD59">
            <w:pPr>
              <w:pStyle w:val="30"/>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739E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02CE948E">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075" w:type="pct"/>
            <w:vAlign w:val="center"/>
          </w:tcPr>
          <w:p w14:paraId="55EEC46F">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418" w:type="pct"/>
            <w:vAlign w:val="center"/>
          </w:tcPr>
          <w:p w14:paraId="1B64141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val="0"/>
                <w:bCs w:val="0"/>
                <w:color w:val="auto"/>
                <w:kern w:val="2"/>
                <w:sz w:val="24"/>
                <w:szCs w:val="24"/>
                <w:highlight w:val="none"/>
                <w:lang w:val="en-US" w:eastAsia="zh-CN"/>
              </w:rPr>
            </w:pPr>
            <w:r>
              <w:rPr>
                <w:rFonts w:hint="eastAsia" w:ascii="宋体" w:hAnsi="宋体" w:eastAsia="宋体"/>
                <w:color w:val="auto"/>
                <w:kern w:val="0"/>
                <w:sz w:val="24"/>
                <w:szCs w:val="24"/>
                <w:highlight w:val="none"/>
              </w:rPr>
              <w:t>投标人自行</w:t>
            </w:r>
            <w:r>
              <w:rPr>
                <w:rFonts w:hint="eastAsia" w:ascii="宋体" w:hAnsi="宋体" w:eastAsia="宋体"/>
                <w:color w:val="auto"/>
                <w:kern w:val="0"/>
                <w:sz w:val="24"/>
                <w:szCs w:val="24"/>
                <w:highlight w:val="none"/>
                <w:lang w:val="en-US" w:eastAsia="zh-CN"/>
              </w:rPr>
              <w:t>在滁州市第一人民医院官网</w:t>
            </w:r>
            <w:r>
              <w:rPr>
                <w:rFonts w:hint="eastAsia" w:ascii="宋体" w:hAnsi="宋体" w:eastAsia="宋体"/>
                <w:color w:val="auto"/>
                <w:kern w:val="0"/>
                <w:sz w:val="24"/>
                <w:szCs w:val="24"/>
                <w:highlight w:val="none"/>
              </w:rPr>
              <w:t>查看</w:t>
            </w:r>
          </w:p>
        </w:tc>
      </w:tr>
      <w:tr w14:paraId="0BE2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05" w:type="pct"/>
            <w:vAlign w:val="center"/>
          </w:tcPr>
          <w:p w14:paraId="7BAD89EB">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075" w:type="pct"/>
            <w:vAlign w:val="center"/>
          </w:tcPr>
          <w:p w14:paraId="420AC3E6">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418" w:type="pct"/>
          </w:tcPr>
          <w:p w14:paraId="2D1B9397">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1B987C4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7028D97C">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492B3D23">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1872FE1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5C9DD1A4">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31200E21">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28536895">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p>
          <w:p w14:paraId="4F27666C">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p>
          <w:p w14:paraId="0B79F3D9">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7E207176">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59C1FFD7">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225F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05" w:type="pct"/>
            <w:vAlign w:val="center"/>
          </w:tcPr>
          <w:p w14:paraId="71FD118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1075" w:type="pct"/>
            <w:vAlign w:val="center"/>
          </w:tcPr>
          <w:p w14:paraId="43FC3496">
            <w:pPr>
              <w:pStyle w:val="30"/>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418" w:type="pct"/>
          </w:tcPr>
          <w:p w14:paraId="6A2B0108">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w:t>
            </w:r>
          </w:p>
          <w:p w14:paraId="68981EA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w:t>
            </w:r>
            <w:r>
              <w:rPr>
                <w:rFonts w:hint="eastAsia" w:ascii="宋体" w:hAnsi="宋体" w:eastAsia="宋体" w:cs="宋体"/>
                <w:b w:val="0"/>
                <w:bCs w:val="0"/>
                <w:color w:val="auto"/>
                <w:sz w:val="24"/>
                <w:szCs w:val="24"/>
                <w:highlight w:val="none"/>
                <w:lang w:val="en-US" w:eastAsia="zh-CN"/>
              </w:rPr>
              <w:t>。</w:t>
            </w:r>
          </w:p>
        </w:tc>
      </w:tr>
      <w:tr w14:paraId="1324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2D957F3E">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1075" w:type="pct"/>
            <w:vAlign w:val="center"/>
          </w:tcPr>
          <w:p w14:paraId="1EB92F0B">
            <w:pPr>
              <w:pStyle w:val="30"/>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w:t>
            </w:r>
            <w:r>
              <w:rPr>
                <w:rFonts w:hint="default" w:ascii="宋体" w:hAnsi="宋体" w:eastAsia="宋体"/>
                <w:b w:val="0"/>
                <w:color w:val="auto"/>
                <w:sz w:val="24"/>
                <w:highlight w:val="none"/>
                <w:lang w:val="en-US" w:eastAsia="zh-CN"/>
              </w:rPr>
              <w:t>及评审</w:t>
            </w:r>
            <w:r>
              <w:rPr>
                <w:rFonts w:hint="eastAsia" w:ascii="宋体" w:hAnsi="宋体" w:eastAsia="宋体"/>
                <w:b w:val="0"/>
                <w:color w:val="auto"/>
                <w:sz w:val="24"/>
                <w:highlight w:val="none"/>
                <w:lang w:val="en-US" w:eastAsia="zh-CN"/>
              </w:rPr>
              <w:t>费用</w:t>
            </w:r>
          </w:p>
        </w:tc>
        <w:tc>
          <w:tcPr>
            <w:tcW w:w="3418" w:type="pct"/>
            <w:vAlign w:val="center"/>
          </w:tcPr>
          <w:p w14:paraId="531F2335">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spacing w:val="14"/>
                <w:sz w:val="24"/>
                <w:szCs w:val="24"/>
                <w:highlight w:val="none"/>
              </w:rPr>
              <w:t>中标人</w:t>
            </w:r>
          </w:p>
          <w:p w14:paraId="7256C3A0">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现金或转账</w:t>
            </w:r>
          </w:p>
          <w:p w14:paraId="078947A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sz w:val="24"/>
                <w:szCs w:val="24"/>
                <w:highlight w:val="none"/>
                <w:u w:val="single" w:color="auto"/>
                <w:lang w:val="en-US" w:eastAsia="zh-CN"/>
              </w:rPr>
              <w:t>750元</w:t>
            </w:r>
            <w:r>
              <w:rPr>
                <w:rFonts w:hint="default" w:ascii="宋体" w:hAnsi="宋体" w:cs="宋体"/>
                <w:sz w:val="24"/>
                <w:szCs w:val="24"/>
                <w:highlight w:val="none"/>
                <w:u w:val="single" w:color="auto"/>
                <w:lang w:val="en-US" w:eastAsia="zh-CN"/>
              </w:rPr>
              <w:t>（</w:t>
            </w:r>
            <w:r>
              <w:rPr>
                <w:rFonts w:hint="default" w:ascii="宋体" w:hAnsi="宋体" w:eastAsia="宋体" w:cs="宋体"/>
                <w:b w:val="0"/>
                <w:bCs w:val="0"/>
                <w:kern w:val="2"/>
                <w:sz w:val="24"/>
                <w:szCs w:val="24"/>
                <w:highlight w:val="none"/>
                <w:u w:val="single"/>
                <w:lang w:val="en-US" w:eastAsia="zh-CN" w:bidi="ar-SA"/>
              </w:rPr>
              <w:t>评审费另计，以实际发生为准）</w:t>
            </w:r>
            <w:r>
              <w:rPr>
                <w:rFonts w:hint="eastAsia" w:ascii="宋体" w:hAnsi="宋体" w:eastAsia="宋体" w:cs="宋体"/>
                <w:b w:val="0"/>
                <w:bCs w:val="0"/>
                <w:kern w:val="2"/>
                <w:sz w:val="24"/>
                <w:szCs w:val="24"/>
                <w:highlight w:val="none"/>
                <w:u w:val="single"/>
                <w:lang w:val="en-US" w:eastAsia="zh-CN" w:bidi="ar-SA"/>
              </w:rPr>
              <w:t xml:space="preserve"> </w:t>
            </w:r>
          </w:p>
        </w:tc>
      </w:tr>
      <w:tr w14:paraId="524D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241F9FE7">
            <w:pPr>
              <w:pStyle w:val="3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075" w:type="pct"/>
            <w:vAlign w:val="center"/>
          </w:tcPr>
          <w:p w14:paraId="5821724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418" w:type="pct"/>
            <w:vAlign w:val="center"/>
          </w:tcPr>
          <w:p w14:paraId="5FC0EA00">
            <w:pPr>
              <w:keepNext w:val="0"/>
              <w:keepLines w:val="0"/>
              <w:widowControl/>
              <w:suppressLineNumbers w:val="0"/>
              <w:jc w:val="left"/>
              <w:rPr>
                <w:b w:val="0"/>
                <w:bCs w:val="0"/>
                <w:highlight w:val="none"/>
                <w:u w:val="single"/>
              </w:rPr>
            </w:pPr>
            <w:r>
              <w:rPr>
                <w:rFonts w:hint="eastAsia" w:ascii="宋体" w:hAnsi="宋体" w:eastAsia="宋体"/>
                <w:b w:val="0"/>
                <w:color w:val="auto"/>
                <w:sz w:val="24"/>
                <w:highlight w:val="none"/>
              </w:rPr>
              <w:t>递交方式：</w:t>
            </w:r>
            <w:r>
              <w:rPr>
                <w:rFonts w:hint="eastAsia" w:ascii="宋体" w:hAnsi="宋体" w:eastAsia="宋体" w:cs="宋体"/>
                <w:b w:val="0"/>
                <w:bCs w:val="0"/>
                <w:color w:val="000000"/>
                <w:kern w:val="0"/>
                <w:sz w:val="24"/>
                <w:szCs w:val="24"/>
                <w:highlight w:val="none"/>
                <w:u w:val="single"/>
                <w:lang w:val="en-US" w:eastAsia="zh-CN"/>
              </w:rPr>
              <w:t xml:space="preserve">投标人通过书面形式提出，一份质疑函只能针对一个项目提出质疑，且针对同一采购程序 </w:t>
            </w:r>
          </w:p>
          <w:p w14:paraId="4922C9E8">
            <w:pPr>
              <w:keepNext w:val="0"/>
              <w:keepLines w:val="0"/>
              <w:widowControl/>
              <w:suppressLineNumbers w:val="0"/>
              <w:jc w:val="left"/>
              <w:rPr>
                <w:b w:val="0"/>
                <w:bCs w:val="0"/>
                <w:highlight w:val="none"/>
                <w:u w:val="single"/>
              </w:rPr>
            </w:pPr>
            <w:r>
              <w:rPr>
                <w:rFonts w:hint="eastAsia" w:ascii="宋体" w:hAnsi="宋体" w:eastAsia="宋体" w:cs="宋体"/>
                <w:b w:val="0"/>
                <w:bCs w:val="0"/>
                <w:color w:val="000000"/>
                <w:kern w:val="0"/>
                <w:sz w:val="24"/>
                <w:szCs w:val="24"/>
                <w:highlight w:val="none"/>
                <w:u w:val="single"/>
                <w:lang w:val="en-US" w:eastAsia="zh-CN"/>
              </w:rPr>
              <w:t>环节的质疑应当一次性提出。</w:t>
            </w:r>
          </w:p>
          <w:p w14:paraId="1AE3F721">
            <w:pPr>
              <w:pStyle w:val="30"/>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lang w:val="en-US" w:eastAsia="zh-CN"/>
              </w:rPr>
              <w:t>滁州市第一人民医院或江苏川页工程项目管理有限公司</w:t>
            </w:r>
          </w:p>
          <w:p w14:paraId="74C78483">
            <w:pPr>
              <w:pStyle w:val="30"/>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lang w:val="en-US" w:eastAsia="zh-CN"/>
              </w:rPr>
              <w:t>0550-3526032或18755018236</w:t>
            </w:r>
            <w:bookmarkStart w:id="80" w:name="_GoBack"/>
            <w:bookmarkEnd w:id="80"/>
          </w:p>
          <w:p w14:paraId="29923B5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lang w:val="en-US" w:eastAsia="zh-CN"/>
              </w:rPr>
              <w:t>滁州市清流中路1401号或滁州市世贸大厦A座18楼1818</w:t>
            </w:r>
          </w:p>
        </w:tc>
      </w:tr>
      <w:tr w14:paraId="5637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7EEDDE0D">
            <w:pPr>
              <w:pStyle w:val="31"/>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1075" w:type="pct"/>
            <w:vAlign w:val="center"/>
          </w:tcPr>
          <w:p w14:paraId="64C00305">
            <w:pPr>
              <w:pStyle w:val="3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418" w:type="pct"/>
            <w:vAlign w:val="center"/>
          </w:tcPr>
          <w:p w14:paraId="3D717CA1">
            <w:p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1、解释权：</w:t>
            </w:r>
          </w:p>
          <w:p w14:paraId="29C8240A">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构成本招标文件的各个组成文件应互为解释，互为说明；</w:t>
            </w:r>
          </w:p>
          <w:p w14:paraId="5A690ED6">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15D7E672">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2647B544">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除招标文件中有特别规定外，仅适用于招标投标阶段的规定，按招标公告、</w:t>
            </w:r>
            <w:r>
              <w:rPr>
                <w:rFonts w:hint="eastAsia" w:ascii="宋体" w:hAnsi="宋体" w:eastAsia="宋体"/>
                <w:bCs/>
                <w:color w:val="auto"/>
                <w:sz w:val="24"/>
                <w:szCs w:val="24"/>
                <w:highlight w:val="none"/>
              </w:rPr>
              <w:t>投标邀请、</w:t>
            </w:r>
            <w:r>
              <w:rPr>
                <w:rFonts w:ascii="宋体" w:hAnsi="宋体" w:eastAsia="宋体"/>
                <w:bCs/>
                <w:color w:val="auto"/>
                <w:sz w:val="24"/>
                <w:szCs w:val="24"/>
                <w:highlight w:val="none"/>
              </w:rPr>
              <w:t>投标人须知、评标</w:t>
            </w:r>
            <w:r>
              <w:rPr>
                <w:rFonts w:hint="eastAsia" w:ascii="宋体" w:hAnsi="宋体" w:eastAsia="宋体"/>
                <w:bCs/>
                <w:color w:val="auto"/>
                <w:sz w:val="24"/>
                <w:szCs w:val="24"/>
                <w:highlight w:val="none"/>
              </w:rPr>
              <w:t>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、投标文件格式的先后顺序解释；</w:t>
            </w:r>
          </w:p>
          <w:p w14:paraId="3EA279E9">
            <w:p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（5）</w:t>
            </w:r>
            <w:r>
              <w:rPr>
                <w:rFonts w:ascii="宋体" w:hAnsi="宋体" w:eastAsia="宋体"/>
                <w:bCs/>
                <w:color w:val="auto"/>
                <w:sz w:val="24"/>
                <w:szCs w:val="24"/>
                <w:highlight w:val="none"/>
                <w:lang w:val="en-US" w:eastAsia="zh-CN"/>
              </w:rPr>
              <w:t>按本款前述规定仍不能形成结论的，由</w:t>
            </w:r>
            <w:r>
              <w:rPr>
                <w:rFonts w:hint="eastAsia" w:ascii="宋体" w:hAnsi="宋体" w:eastAsia="宋体"/>
                <w:bCs/>
                <w:color w:val="auto"/>
                <w:sz w:val="24"/>
                <w:szCs w:val="24"/>
                <w:highlight w:val="none"/>
                <w:lang w:val="en-US" w:eastAsia="zh-CN"/>
              </w:rPr>
              <w:t>采购</w:t>
            </w:r>
            <w:r>
              <w:rPr>
                <w:rFonts w:ascii="宋体" w:hAnsi="宋体" w:eastAsia="宋体"/>
                <w:bCs/>
                <w:color w:val="auto"/>
                <w:sz w:val="24"/>
                <w:szCs w:val="24"/>
                <w:highlight w:val="none"/>
                <w:lang w:val="en-US" w:eastAsia="zh-CN"/>
              </w:rPr>
              <w:t>人负责解释。</w:t>
            </w:r>
          </w:p>
        </w:tc>
      </w:tr>
      <w:tr w14:paraId="03BA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77F43800">
            <w:pPr>
              <w:pStyle w:val="31"/>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33</w:t>
            </w:r>
          </w:p>
        </w:tc>
        <w:tc>
          <w:tcPr>
            <w:tcW w:w="1075" w:type="pct"/>
            <w:vAlign w:val="center"/>
          </w:tcPr>
          <w:p w14:paraId="6C3C18BA">
            <w:pPr>
              <w:pStyle w:val="30"/>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投标文件数量</w:t>
            </w:r>
          </w:p>
        </w:tc>
        <w:tc>
          <w:tcPr>
            <w:tcW w:w="3418" w:type="pct"/>
            <w:vAlign w:val="center"/>
          </w:tcPr>
          <w:p w14:paraId="3EF10F41">
            <w:pPr>
              <w:spacing w:line="360" w:lineRule="auto"/>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rPr>
              <w:t>正本</w:t>
            </w:r>
            <w:r>
              <w:rPr>
                <w:rFonts w:hint="eastAsia" w:ascii="宋体" w:hAnsi="宋体" w:eastAsia="宋体"/>
                <w:b/>
                <w:bCs w:val="0"/>
                <w:color w:val="auto"/>
                <w:sz w:val="24"/>
                <w:szCs w:val="24"/>
                <w:highlight w:val="none"/>
                <w:u w:val="single"/>
              </w:rPr>
              <w:t xml:space="preserve"> 1 </w:t>
            </w:r>
            <w:r>
              <w:rPr>
                <w:rFonts w:hint="eastAsia" w:ascii="宋体" w:hAnsi="宋体" w:eastAsia="宋体"/>
                <w:b/>
                <w:bCs w:val="0"/>
                <w:color w:val="auto"/>
                <w:sz w:val="24"/>
                <w:szCs w:val="24"/>
                <w:highlight w:val="none"/>
              </w:rPr>
              <w:t>份，副本</w:t>
            </w:r>
            <w:r>
              <w:rPr>
                <w:rFonts w:hint="eastAsia" w:ascii="宋体" w:hAnsi="宋体" w:eastAsia="宋体"/>
                <w:b/>
                <w:bCs w:val="0"/>
                <w:color w:val="auto"/>
                <w:sz w:val="24"/>
                <w:szCs w:val="24"/>
                <w:highlight w:val="none"/>
                <w:u w:val="single"/>
              </w:rPr>
              <w:t xml:space="preserve"> </w:t>
            </w:r>
            <w:r>
              <w:rPr>
                <w:rFonts w:hint="eastAsia" w:ascii="宋体" w:hAnsi="宋体" w:eastAsia="宋体"/>
                <w:b/>
                <w:bCs w:val="0"/>
                <w:color w:val="auto"/>
                <w:sz w:val="24"/>
                <w:szCs w:val="24"/>
                <w:highlight w:val="none"/>
                <w:u w:val="single"/>
                <w:lang w:val="en-US" w:eastAsia="zh-CN"/>
              </w:rPr>
              <w:t>2</w:t>
            </w:r>
            <w:r>
              <w:rPr>
                <w:rFonts w:hint="eastAsia" w:ascii="宋体" w:hAnsi="宋体" w:eastAsia="宋体"/>
                <w:b/>
                <w:bCs w:val="0"/>
                <w:color w:val="auto"/>
                <w:sz w:val="24"/>
                <w:szCs w:val="24"/>
                <w:highlight w:val="none"/>
                <w:u w:val="single"/>
              </w:rPr>
              <w:t xml:space="preserve"> </w:t>
            </w:r>
            <w:r>
              <w:rPr>
                <w:rFonts w:hint="eastAsia" w:ascii="宋体" w:hAnsi="宋体" w:eastAsia="宋体"/>
                <w:b/>
                <w:bCs w:val="0"/>
                <w:color w:val="auto"/>
                <w:sz w:val="24"/>
                <w:szCs w:val="24"/>
                <w:highlight w:val="none"/>
              </w:rPr>
              <w:t>份</w:t>
            </w:r>
            <w:r>
              <w:rPr>
                <w:rFonts w:hint="eastAsia" w:ascii="宋体" w:hAnsi="宋体" w:eastAsia="宋体"/>
                <w:b/>
                <w:bCs w:val="0"/>
                <w:color w:val="auto"/>
                <w:sz w:val="24"/>
                <w:szCs w:val="24"/>
                <w:highlight w:val="none"/>
                <w:lang w:eastAsia="zh-CN"/>
              </w:rPr>
              <w:t>，</w:t>
            </w:r>
            <w:r>
              <w:rPr>
                <w:rFonts w:hint="eastAsia" w:ascii="宋体" w:hAnsi="宋体" w:eastAsia="宋体"/>
                <w:b/>
                <w:bCs w:val="0"/>
                <w:color w:val="auto"/>
                <w:sz w:val="24"/>
                <w:szCs w:val="24"/>
                <w:highlight w:val="none"/>
                <w:lang w:val="en-US" w:eastAsia="zh-CN"/>
              </w:rPr>
              <w:t>正副本不一致时，以正本为准。</w:t>
            </w:r>
          </w:p>
        </w:tc>
      </w:tr>
      <w:tr w14:paraId="490A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5" w:type="pct"/>
            <w:vAlign w:val="center"/>
          </w:tcPr>
          <w:p w14:paraId="13C699A9">
            <w:pPr>
              <w:pStyle w:val="31"/>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34</w:t>
            </w:r>
          </w:p>
        </w:tc>
        <w:tc>
          <w:tcPr>
            <w:tcW w:w="1075" w:type="pct"/>
            <w:vAlign w:val="center"/>
          </w:tcPr>
          <w:p w14:paraId="622EE39E">
            <w:pPr>
              <w:pStyle w:val="30"/>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签字或盖章及密封要求</w:t>
            </w:r>
          </w:p>
        </w:tc>
        <w:tc>
          <w:tcPr>
            <w:tcW w:w="3418" w:type="pct"/>
            <w:vAlign w:val="center"/>
          </w:tcPr>
          <w:p w14:paraId="3D23BF86">
            <w:pPr>
              <w:spacing w:line="360" w:lineRule="auto"/>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lang w:val="en-US" w:eastAsia="zh-CN"/>
              </w:rPr>
              <w:t>一正两副装订成册，密封在档案袋中，档案袋封面注明项目名称、单位、联系人及联系方式</w:t>
            </w:r>
          </w:p>
        </w:tc>
      </w:tr>
    </w:tbl>
    <w:p w14:paraId="736255BC">
      <w:pPr>
        <w:spacing w:line="360" w:lineRule="auto"/>
        <w:jc w:val="center"/>
        <w:outlineLvl w:val="1"/>
        <w:rPr>
          <w:rFonts w:asciiTheme="minorEastAsia" w:hAnsiTheme="minorEastAsia" w:eastAsiaTheme="minorEastAsia"/>
          <w:b/>
          <w:color w:val="auto"/>
          <w:sz w:val="24"/>
          <w:highlight w:val="none"/>
        </w:rPr>
      </w:pPr>
      <w:r>
        <w:rPr>
          <w:rFonts w:ascii="宋体" w:hAnsi="宋体" w:eastAsia="宋体"/>
          <w:b/>
          <w:color w:val="auto"/>
          <w:sz w:val="28"/>
          <w:highlight w:val="none"/>
        </w:rPr>
        <w:br w:type="page"/>
      </w:r>
      <w:bookmarkStart w:id="21" w:name="_Toc24882"/>
      <w:bookmarkStart w:id="22" w:name="_Toc9427"/>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投标人须知</w:t>
      </w:r>
      <w:r>
        <w:rPr>
          <w:rFonts w:hint="eastAsia" w:asciiTheme="minorEastAsia" w:hAnsiTheme="minorEastAsia" w:eastAsiaTheme="minorEastAsia"/>
          <w:b/>
          <w:color w:val="auto"/>
          <w:sz w:val="24"/>
          <w:highlight w:val="none"/>
        </w:rPr>
        <w:t>正文</w:t>
      </w:r>
      <w:bookmarkEnd w:id="21"/>
      <w:bookmarkEnd w:id="22"/>
    </w:p>
    <w:p w14:paraId="4610C9AF">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1.采购人、采购代理机构及投标人</w:t>
      </w:r>
    </w:p>
    <w:p w14:paraId="1D304C2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05F85AA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04B57D8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72A4517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295DA2D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6B6F0D6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17B0E20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7C44FE1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19730E5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1808BFF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5.1两个以上供应商可以组成一个投标联合体，以一个投标人的身份投标。</w:t>
      </w:r>
      <w:r>
        <w:rPr>
          <w:rFonts w:ascii="宋体" w:hAnsi="宋体" w:eastAsia="宋体"/>
          <w:b w:val="0"/>
          <w:color w:val="auto"/>
          <w:sz w:val="24"/>
          <w:highlight w:val="none"/>
        </w:rPr>
        <w:t>联合体投标的，</w:t>
      </w:r>
      <w:r>
        <w:rPr>
          <w:rFonts w:hint="eastAsia" w:ascii="宋体" w:hAnsi="宋体" w:eastAsia="宋体"/>
          <w:b w:val="0"/>
          <w:color w:val="auto"/>
          <w:sz w:val="24"/>
          <w:highlight w:val="none"/>
        </w:rPr>
        <w:t>招标文件获取</w:t>
      </w:r>
      <w:r>
        <w:rPr>
          <w:rFonts w:ascii="宋体" w:hAnsi="宋体" w:eastAsia="宋体"/>
          <w:b w:val="0"/>
          <w:color w:val="auto"/>
          <w:sz w:val="24"/>
          <w:highlight w:val="none"/>
        </w:rPr>
        <w:t>手续由联合体</w:t>
      </w:r>
      <w:r>
        <w:rPr>
          <w:rFonts w:hint="eastAsia" w:ascii="宋体" w:hAnsi="宋体" w:eastAsia="宋体"/>
          <w:b w:val="0"/>
          <w:color w:val="auto"/>
          <w:sz w:val="24"/>
          <w:highlight w:val="none"/>
        </w:rPr>
        <w:t>中</w:t>
      </w:r>
      <w:r>
        <w:rPr>
          <w:rFonts w:ascii="宋体" w:hAnsi="宋体" w:eastAsia="宋体"/>
          <w:b w:val="0"/>
          <w:color w:val="auto"/>
          <w:sz w:val="24"/>
          <w:highlight w:val="none"/>
        </w:rPr>
        <w:t>任</w:t>
      </w:r>
      <w:r>
        <w:rPr>
          <w:rFonts w:hint="eastAsia" w:ascii="宋体" w:hAnsi="宋体" w:eastAsia="宋体"/>
          <w:b w:val="0"/>
          <w:color w:val="auto"/>
          <w:sz w:val="24"/>
          <w:highlight w:val="none"/>
        </w:rPr>
        <w:t>一成员单位</w:t>
      </w:r>
      <w:r>
        <w:rPr>
          <w:rFonts w:ascii="宋体" w:hAnsi="宋体" w:eastAsia="宋体"/>
          <w:b w:val="0"/>
          <w:color w:val="auto"/>
          <w:sz w:val="24"/>
          <w:highlight w:val="none"/>
        </w:rPr>
        <w:t>办理均可。</w:t>
      </w:r>
    </w:p>
    <w:p w14:paraId="6603BC7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5.2联合体各方均应符合《中华人民共和国政府采购法》第二十二条规定的条件。</w:t>
      </w:r>
    </w:p>
    <w:p w14:paraId="43E10FE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5.3采购人根据采购项目对投标人的特殊要求，联合体中至少应当有一方符合相关规定。</w:t>
      </w:r>
    </w:p>
    <w:p w14:paraId="63A7EBC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33E82E8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02D900B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48D2A59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12CC0FA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宋体" w:hAnsi="宋体" w:eastAsia="宋体"/>
          <w:color w:val="auto"/>
          <w:sz w:val="24"/>
          <w:highlight w:val="none"/>
        </w:rPr>
        <w:t>。</w:t>
      </w:r>
    </w:p>
    <w:p w14:paraId="7359A7E1">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2.资金落实情况</w:t>
      </w:r>
    </w:p>
    <w:p w14:paraId="52734A1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0FBA0FB0">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3.投标费用</w:t>
      </w:r>
    </w:p>
    <w:p w14:paraId="7BC8875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6F32F5D8">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4.适用法律</w:t>
      </w:r>
    </w:p>
    <w:p w14:paraId="70CB8BFD">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w:t>
      </w:r>
      <w:r>
        <w:rPr>
          <w:rFonts w:hint="eastAsia" w:ascii="宋体" w:hAnsi="宋体" w:eastAsia="宋体"/>
          <w:color w:val="auto"/>
          <w:sz w:val="24"/>
          <w:szCs w:val="22"/>
          <w:highlight w:val="none"/>
        </w:rPr>
        <w:t>华人民共和国政府采购法实施条例》</w:t>
      </w:r>
      <w:r>
        <w:rPr>
          <w:rFonts w:hint="eastAsia" w:ascii="宋体" w:hAnsi="宋体" w:eastAsia="宋体"/>
          <w:color w:val="auto"/>
          <w:sz w:val="24"/>
          <w:szCs w:val="22"/>
          <w:highlight w:val="none"/>
          <w:lang w:val="en-US" w:eastAsia="zh-CN"/>
        </w:rPr>
        <w:t>及</w:t>
      </w:r>
      <w:r>
        <w:rPr>
          <w:rFonts w:hint="eastAsia" w:ascii="宋体" w:hAnsi="宋体" w:eastAsia="宋体"/>
          <w:color w:val="auto"/>
          <w:sz w:val="24"/>
          <w:szCs w:val="22"/>
          <w:highlight w:val="none"/>
        </w:rPr>
        <w:t>本项目本级和上级财政部门、政府采购监督管理部门的政府采购有关规定的约束，其权利受到上述法律法规的保护。</w:t>
      </w:r>
    </w:p>
    <w:p w14:paraId="56C824C1">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hint="eastAsia" w:asciiTheme="minorEastAsia" w:hAnsiTheme="minorEastAsia" w:eastAsiaTheme="minorEastAsia"/>
          <w:b/>
          <w:color w:val="auto"/>
          <w:sz w:val="24"/>
          <w:highlight w:val="none"/>
        </w:rPr>
        <w:t>.招标文件构成</w:t>
      </w:r>
    </w:p>
    <w:p w14:paraId="11CB048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7616E92E">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06114D9F">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37DA5FE9">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2919461B">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2D97B7DF">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5C427D45">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1BC2A02C">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494B6E7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宋体" w:hAnsi="宋体" w:eastAsia="宋体" w:cs="@仿宋_GB2312"/>
          <w:b w:val="0"/>
          <w:bCs/>
          <w:color w:val="auto"/>
          <w:kern w:val="2"/>
          <w:sz w:val="24"/>
          <w:szCs w:val="22"/>
          <w:highlight w:val="none"/>
          <w:lang w:val="en-US" w:eastAsia="zh-CN" w:bidi="ar-SA"/>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6BEF92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投标人应认真阅读招标文件所有的事项、格式、条款和技术规范等。</w:t>
      </w:r>
    </w:p>
    <w:p w14:paraId="62868EC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招标文件的澄清与修改</w:t>
      </w:r>
    </w:p>
    <w:p w14:paraId="1BBD69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01DE5F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w:t>
      </w:r>
      <w:r>
        <w:rPr>
          <w:rFonts w:hint="eastAsia" w:asciiTheme="minorEastAsia" w:hAnsiTheme="minorEastAsia" w:eastAsiaTheme="minorEastAsia"/>
          <w:color w:val="auto"/>
          <w:sz w:val="24"/>
          <w:highlight w:val="none"/>
        </w:rPr>
        <w:t>投标人提出的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lang w:eastAsia="zh-CN"/>
        </w:rPr>
        <w:t>滁州市第一人民医院官网</w:t>
      </w:r>
      <w:r>
        <w:rPr>
          <w:rFonts w:hint="eastAsia" w:asciiTheme="minorEastAsia" w:hAnsiTheme="minorEastAsia" w:eastAsiaTheme="minorEastAsia"/>
          <w:color w:val="auto"/>
          <w:sz w:val="24"/>
          <w:highlight w:val="none"/>
        </w:rPr>
        <w:t>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7FFF0D2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0A7A2D04">
      <w:pPr>
        <w:spacing w:line="360" w:lineRule="auto"/>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28AAFD5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投标范围及投标文件中标准和计量单位的使用</w:t>
      </w:r>
    </w:p>
    <w:p w14:paraId="7AA793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2267C5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7EE8A2CD">
      <w:pPr>
        <w:spacing w:line="360" w:lineRule="auto"/>
        <w:ind w:firstLine="435"/>
        <w:rPr>
          <w:rFonts w:asciiTheme="minorEastAsia" w:hAnsiTheme="minorEastAsia" w:eastAsiaTheme="minorEastAsia"/>
          <w:color w:val="auto"/>
          <w:sz w:val="24"/>
          <w:highlight w:val="none"/>
        </w:rPr>
      </w:pPr>
      <w:bookmarkStart w:id="23"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lang w:val="en-US" w:eastAsia="zh-CN"/>
        </w:rPr>
        <w:t>及</w:t>
      </w:r>
      <w:r>
        <w:rPr>
          <w:rFonts w:hint="eastAsia" w:asciiTheme="minorEastAsia" w:hAnsiTheme="minorEastAsia" w:eastAsiaTheme="minorEastAsia"/>
          <w:color w:val="auto"/>
          <w:sz w:val="24"/>
          <w:highlight w:val="none"/>
        </w:rPr>
        <w:t>工程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i w:val="0"/>
          <w:iCs w:val="0"/>
          <w:color w:val="auto"/>
          <w:sz w:val="24"/>
          <w:highlight w:val="none"/>
          <w:u w:val="none"/>
          <w:lang w:val="en-US" w:eastAsia="zh-CN"/>
        </w:rPr>
        <w:t>如有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均应符合国家强制性标准。</w:t>
      </w:r>
    </w:p>
    <w:bookmarkEnd w:id="23"/>
    <w:p w14:paraId="6B8EE3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44C6D00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14AD468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3ABBE93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252F0276">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4" w:name="_Hlk11703583"/>
      <w:r>
        <w:rPr>
          <w:rFonts w:hint="eastAsia" w:asciiTheme="minorEastAsia" w:hAnsiTheme="minorEastAsia" w:eastAsiaTheme="minorEastAsia"/>
          <w:color w:val="auto"/>
          <w:sz w:val="24"/>
          <w:highlight w:val="none"/>
          <w:lang w:val="en-US" w:eastAsia="zh-CN"/>
        </w:rPr>
        <w:t>等。</w:t>
      </w:r>
    </w:p>
    <w:bookmarkEnd w:id="24"/>
    <w:p w14:paraId="34AB92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27140E8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171220C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2.1投标人的报价应当包括满足本次招标全部采购需求</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除招标文件另有规定外，</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14:paraId="78A75ED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69B8A16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28D8376F">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4AACAE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采购人不接受具有附加条件的报价。</w:t>
      </w:r>
    </w:p>
    <w:p w14:paraId="336C5DC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2E0039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.1本项目不收取投标保证金。</w:t>
      </w:r>
    </w:p>
    <w:p w14:paraId="1CFDD24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4D88D0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5DF5AF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7D197D9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A2A96E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投标文件的递交、修改与撤回</w:t>
      </w:r>
    </w:p>
    <w:p w14:paraId="1F1CD94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.1投标人应当在</w:t>
      </w:r>
      <w:r>
        <w:rPr>
          <w:rFonts w:hint="eastAsia" w:asciiTheme="minorEastAsia" w:hAnsiTheme="minorEastAsia" w:eastAsiaTheme="minorEastAsia"/>
          <w:color w:val="auto"/>
          <w:sz w:val="24"/>
          <w:highlight w:val="none"/>
          <w:lang w:val="en-US" w:eastAsia="zh-CN"/>
        </w:rPr>
        <w:t>招标公告</w:t>
      </w:r>
      <w:r>
        <w:rPr>
          <w:rFonts w:hint="eastAsia" w:asciiTheme="minorEastAsia" w:hAnsiTheme="minorEastAsia" w:eastAsiaTheme="minorEastAsia"/>
          <w:color w:val="auto"/>
          <w:sz w:val="24"/>
          <w:highlight w:val="none"/>
        </w:rPr>
        <w:t>规定的投标截止时间前</w:t>
      </w:r>
      <w:r>
        <w:rPr>
          <w:rFonts w:asciiTheme="minorEastAsia" w:hAnsiTheme="minorEastAsia" w:eastAsiaTheme="minorEastAsia"/>
          <w:color w:val="auto"/>
          <w:sz w:val="24"/>
          <w:highlight w:val="none"/>
        </w:rPr>
        <w:t>，将加密的投标文件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2880D1F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32D3E79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66D371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开标时，</w:t>
      </w:r>
      <w:r>
        <w:rPr>
          <w:rFonts w:ascii="宋体" w:hAnsi="宋体" w:eastAsia="宋体" w:cs="宋体"/>
          <w:sz w:val="24"/>
          <w:szCs w:val="24"/>
          <w:highlight w:val="none"/>
        </w:rPr>
        <w:t>各投标人应在</w:t>
      </w:r>
      <w:r>
        <w:rPr>
          <w:rFonts w:ascii="宋体" w:hAnsi="宋体" w:eastAsia="宋体" w:cs="宋体"/>
          <w:sz w:val="24"/>
          <w:szCs w:val="24"/>
          <w:highlight w:val="none"/>
          <w:u w:val="single"/>
        </w:rPr>
        <w:t>投标人须知前附表</w:t>
      </w:r>
      <w:r>
        <w:rPr>
          <w:rFonts w:ascii="宋体" w:hAnsi="宋体" w:eastAsia="宋体" w:cs="宋体"/>
          <w:sz w:val="24"/>
          <w:szCs w:val="24"/>
          <w:highlight w:val="none"/>
        </w:rPr>
        <w:t>规定的解密时间前</w:t>
      </w:r>
      <w:r>
        <w:rPr>
          <w:rFonts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lang w:val="en-US" w:eastAsia="zh-CN"/>
        </w:rPr>
        <w:t>其</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asciiTheme="minorEastAsia" w:hAnsiTheme="minorEastAsia" w:eastAsiaTheme="minorEastAsia"/>
          <w:color w:val="auto"/>
          <w:sz w:val="24"/>
          <w:highlight w:val="none"/>
        </w:rPr>
        <w:t>解密。</w:t>
      </w:r>
    </w:p>
    <w:p w14:paraId="1C1554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开标时，采购代理机构将通过网上开标系统公布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1D3814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采购人或采购代理机构将对开标过程进行记录，由参加开标的各投标人代表和相关工作人员签字确认，并存档备查。</w:t>
      </w:r>
    </w:p>
    <w:p w14:paraId="5DB7EE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投标人未派代表参加开标的，视同投标人认可开标结果。</w:t>
      </w:r>
    </w:p>
    <w:p w14:paraId="63C1F03C">
      <w:pPr>
        <w:spacing w:line="360" w:lineRule="auto"/>
        <w:ind w:firstLine="435"/>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投标人代表对开标过程和开标记录有疑义，以及认为采购人、采购代理机构相关工作人员有需要回避的情形的，应当场提出询问或者回避申请。</w:t>
      </w:r>
    </w:p>
    <w:p w14:paraId="7C5CA94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资格审查及组建评标委员会</w:t>
      </w:r>
    </w:p>
    <w:p w14:paraId="09F128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5E141785">
      <w:pPr>
        <w:spacing w:line="360" w:lineRule="auto"/>
        <w:ind w:firstLine="435"/>
        <w:rPr>
          <w:rFonts w:hint="eastAsia" w:ascii="宋体" w:hAnsi="宋体" w:eastAsia="宋体" w:cs="宋体"/>
          <w:color w:val="auto"/>
          <w:sz w:val="24"/>
          <w:szCs w:val="24"/>
          <w:highlight w:val="none"/>
        </w:rPr>
      </w:pPr>
      <w:bookmarkStart w:id="25"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6268DA3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27F0E388">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26A2A149">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0CD8102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31DC5A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590EC2E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投标文件的澄清</w:t>
      </w:r>
    </w:p>
    <w:p w14:paraId="704A734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7902E3A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1627103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15.</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投标人的澄清、说明或补正将作为投标文件的一部分。</w:t>
      </w:r>
    </w:p>
    <w:p w14:paraId="74FD18A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.3评标委员会对投标人提交的澄清、说明或补正有疑问的，可以要求投标人进一步澄清、说明或补正，直至满足评标委员会的要求。</w:t>
      </w:r>
    </w:p>
    <w:p w14:paraId="4BB95FB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投标文件报价出现前后不一致的，按照下列规定修正：</w:t>
      </w:r>
    </w:p>
    <w:p w14:paraId="482D78B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52BAFE5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2CB34F8B">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4B9C8F9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5BBD55E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24B7206E">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443C54A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16.</w:t>
      </w:r>
      <w:r>
        <w:rPr>
          <w:rFonts w:hint="eastAsia" w:asciiTheme="minorEastAsia" w:hAnsiTheme="minorEastAsia" w:eastAsiaTheme="minorEastAsia"/>
          <w:b/>
          <w:color w:val="auto"/>
          <w:sz w:val="24"/>
          <w:highlight w:val="none"/>
        </w:rPr>
        <w:t>投标无效</w:t>
      </w:r>
    </w:p>
    <w:p w14:paraId="0FC515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052E57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1B85B7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14:paraId="431881F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014F93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42430C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5DFDAB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2EC5076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2DF4D354">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5CECFDC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17.</w:t>
      </w:r>
      <w:r>
        <w:rPr>
          <w:rFonts w:hint="eastAsia" w:asciiTheme="minorEastAsia" w:hAnsiTheme="minorEastAsia" w:eastAsiaTheme="minorEastAsia"/>
          <w:b/>
          <w:color w:val="auto"/>
          <w:sz w:val="24"/>
          <w:highlight w:val="none"/>
        </w:rPr>
        <w:t>比较与评价</w:t>
      </w:r>
    </w:p>
    <w:p w14:paraId="6DCD60B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74B720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482448E9">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0A17FEF0">
      <w:pPr>
        <w:spacing w:line="360" w:lineRule="auto"/>
        <w:ind w:firstLine="435"/>
        <w:rPr>
          <w:rFonts w:ascii="宋体" w:hAnsi="宋体" w:eastAsia="宋体"/>
          <w:b/>
          <w:bCs/>
          <w:color w:val="auto"/>
          <w:sz w:val="24"/>
          <w:highlight w:val="none"/>
        </w:rPr>
      </w:pPr>
      <w:r>
        <w:rPr>
          <w:rFonts w:hint="eastAsia" w:ascii="宋体" w:hAnsi="宋体" w:eastAsia="宋体"/>
          <w:b/>
          <w:bCs/>
          <w:color w:val="auto"/>
          <w:sz w:val="24"/>
          <w:highlight w:val="none"/>
        </w:rPr>
        <w:t>（2）综合评分法，是</w:t>
      </w:r>
      <w:r>
        <w:rPr>
          <w:rFonts w:ascii="宋体" w:hAnsi="宋体" w:eastAsia="宋体"/>
          <w:b/>
          <w:bCs/>
          <w:color w:val="auto"/>
          <w:sz w:val="24"/>
          <w:highlight w:val="none"/>
        </w:rPr>
        <w:t>指投标文件满足招标</w:t>
      </w:r>
      <w:r>
        <w:rPr>
          <w:rFonts w:hint="eastAsia" w:ascii="宋体" w:hAnsi="宋体" w:eastAsia="宋体"/>
          <w:b/>
          <w:bCs/>
          <w:color w:val="auto"/>
          <w:sz w:val="24"/>
          <w:highlight w:val="none"/>
        </w:rPr>
        <w:t>文件</w:t>
      </w:r>
      <w:r>
        <w:rPr>
          <w:rFonts w:ascii="宋体" w:hAnsi="宋体" w:eastAsia="宋体"/>
          <w:b/>
          <w:bCs/>
          <w:color w:val="auto"/>
          <w:sz w:val="24"/>
          <w:highlight w:val="none"/>
        </w:rPr>
        <w:t>全部实质性要求</w:t>
      </w:r>
      <w:r>
        <w:rPr>
          <w:rFonts w:hint="eastAsia" w:ascii="宋体" w:hAnsi="宋体" w:eastAsia="宋体"/>
          <w:b/>
          <w:bCs/>
          <w:color w:val="auto"/>
          <w:sz w:val="24"/>
          <w:highlight w:val="none"/>
        </w:rPr>
        <w:t>，</w:t>
      </w:r>
      <w:r>
        <w:rPr>
          <w:rFonts w:ascii="宋体" w:hAnsi="宋体" w:eastAsia="宋体"/>
          <w:b/>
          <w:bCs/>
          <w:color w:val="auto"/>
          <w:sz w:val="24"/>
          <w:highlight w:val="none"/>
        </w:rPr>
        <w:t>且按照评审因素的</w:t>
      </w:r>
      <w:r>
        <w:rPr>
          <w:rFonts w:hint="eastAsia" w:ascii="宋体" w:hAnsi="宋体" w:eastAsia="宋体"/>
          <w:b/>
          <w:bCs/>
          <w:color w:val="auto"/>
          <w:sz w:val="24"/>
          <w:highlight w:val="none"/>
        </w:rPr>
        <w:t>量化</w:t>
      </w:r>
      <w:r>
        <w:rPr>
          <w:rFonts w:ascii="宋体" w:hAnsi="宋体" w:eastAsia="宋体"/>
          <w:b/>
          <w:bCs/>
          <w:color w:val="auto"/>
          <w:sz w:val="24"/>
          <w:highlight w:val="none"/>
        </w:rPr>
        <w:t>指标评审得分最高的</w:t>
      </w:r>
      <w:r>
        <w:rPr>
          <w:rFonts w:hint="eastAsia" w:ascii="宋体" w:hAnsi="宋体" w:eastAsia="宋体"/>
          <w:b/>
          <w:bCs/>
          <w:color w:val="auto"/>
          <w:sz w:val="24"/>
          <w:highlight w:val="none"/>
        </w:rPr>
        <w:t>投标人</w:t>
      </w:r>
      <w:r>
        <w:rPr>
          <w:rFonts w:ascii="宋体" w:hAnsi="宋体" w:eastAsia="宋体"/>
          <w:b/>
          <w:bCs/>
          <w:color w:val="auto"/>
          <w:sz w:val="24"/>
          <w:highlight w:val="none"/>
        </w:rPr>
        <w:t>为中标候选人的评标方法。</w:t>
      </w:r>
    </w:p>
    <w:p w14:paraId="2BCB6F5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5E38456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.1出现下列情形之一，将导致项目废标：</w:t>
      </w:r>
    </w:p>
    <w:p w14:paraId="4FACDA44">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589642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7420351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42C7DC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7AF65D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4CD764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37B9AF7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Theme="minorEastAsia" w:hAnsiTheme="minorEastAsia" w:eastAsiaTheme="minorEastAsia"/>
          <w:color w:val="auto"/>
          <w:sz w:val="24"/>
          <w:highlight w:val="none"/>
        </w:rPr>
        <w:t>批准。</w:t>
      </w:r>
    </w:p>
    <w:p w14:paraId="1D64258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2641414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7F90A05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2EEE504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260EAD9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20.1</w:t>
      </w:r>
      <w:r>
        <w:rPr>
          <w:rFonts w:asciiTheme="minorEastAsia" w:hAnsiTheme="minorEastAsia" w:eastAsiaTheme="minorEastAsia"/>
          <w:color w:val="auto"/>
          <w:sz w:val="24"/>
          <w:highlight w:val="none"/>
        </w:rPr>
        <w:t>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27D0367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出现两家或两家以上相同者，采取评标委员会随机抽取的方式确定中标候选顺序。</w:t>
      </w:r>
    </w:p>
    <w:p w14:paraId="35E1983A">
      <w:pPr>
        <w:spacing w:line="360" w:lineRule="auto"/>
        <w:ind w:firstLine="435"/>
        <w:rPr>
          <w:rFonts w:hint="default" w:eastAsiaTheme="minorEastAsia"/>
          <w:highlight w:val="none"/>
          <w:lang w:val="en-US" w:eastAsia="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w:t>
      </w:r>
      <w:r>
        <w:rPr>
          <w:rFonts w:hint="eastAsia" w:asciiTheme="minorEastAsia" w:hAnsiTheme="minorEastAsia" w:eastAsiaTheme="minorEastAsia"/>
          <w:color w:val="auto"/>
          <w:sz w:val="24"/>
          <w:highlight w:val="none"/>
        </w:rPr>
        <w:t>按投标报价由低到高顺序排列。</w:t>
      </w:r>
      <w:r>
        <w:rPr>
          <w:rFonts w:asciiTheme="minorEastAsia" w:hAnsiTheme="minorEastAsia" w:eastAsiaTheme="minorEastAsia"/>
          <w:color w:val="auto"/>
          <w:sz w:val="24"/>
          <w:highlight w:val="none"/>
        </w:rPr>
        <w:t>得分与投标报价均相同的</w:t>
      </w:r>
      <w:r>
        <w:rPr>
          <w:rFonts w:hint="eastAsia" w:asciiTheme="minorEastAsia" w:hAnsiTheme="minorEastAsia" w:eastAsiaTheme="minorEastAsia"/>
          <w:color w:val="auto"/>
          <w:sz w:val="24"/>
          <w:highlight w:val="none"/>
        </w:rPr>
        <w:t>，则采取评标委员会随机抽取的方式确定中标候选顺序。</w:t>
      </w:r>
    </w:p>
    <w:p w14:paraId="2DD3F22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1102386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002DD2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737BC3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11E5D6A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60424A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143538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4FB07D7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785771F">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自中标人确定之日起2个工作日内，采购代理机构将在</w:t>
      </w:r>
      <w:r>
        <w:rPr>
          <w:rFonts w:hint="eastAsia" w:ascii="宋体" w:hAnsi="宋体" w:eastAsia="宋体"/>
          <w:color w:val="auto"/>
          <w:sz w:val="24"/>
          <w:szCs w:val="18"/>
          <w:highlight w:val="none"/>
          <w:lang w:eastAsia="zh-CN"/>
        </w:rPr>
        <w:t>滁州市第一人民医院官网</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lang w:eastAsia="zh-CN"/>
        </w:rPr>
        <w:t>https://www.czsey.com/</w:t>
      </w:r>
      <w:r>
        <w:rPr>
          <w:rFonts w:hint="eastAsia" w:ascii="宋体" w:hAnsi="宋体" w:eastAsia="宋体"/>
          <w:color w:val="auto"/>
          <w:sz w:val="24"/>
          <w:szCs w:val="18"/>
          <w:highlight w:val="none"/>
        </w:rPr>
        <w:t>）上发布中标结果公告。</w:t>
      </w:r>
    </w:p>
    <w:p w14:paraId="5A076E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中约定进行公告的内容。中标公告期限为1个工作日。</w:t>
      </w:r>
    </w:p>
    <w:p w14:paraId="62A71A1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4980D1B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p>
    <w:p w14:paraId="5E8E76E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03D7E59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0D8AE18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4DDD81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2643B292">
      <w:pPr>
        <w:spacing w:line="360" w:lineRule="auto"/>
        <w:ind w:firstLine="437"/>
        <w:outlineLvl w:val="2"/>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不要求</w:t>
      </w:r>
      <w:r>
        <w:rPr>
          <w:rFonts w:hint="eastAsia" w:asciiTheme="minorEastAsia" w:hAnsiTheme="minorEastAsia" w:eastAsiaTheme="minorEastAsia"/>
          <w:b/>
          <w:color w:val="auto"/>
          <w:sz w:val="24"/>
          <w:highlight w:val="none"/>
          <w:lang w:eastAsia="zh-CN"/>
        </w:rPr>
        <w:t>）</w:t>
      </w:r>
    </w:p>
    <w:p w14:paraId="225C589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70B082C7">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0EEC289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01EAC31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619ECEE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4119BA6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3E4E0B6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19C5CA12">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301FB76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43079CE2">
      <w:pPr>
        <w:spacing w:line="360" w:lineRule="auto"/>
        <w:ind w:firstLine="437"/>
        <w:outlineLvl w:val="2"/>
        <w:rPr>
          <w:rFonts w:asciiTheme="minorEastAsia" w:hAnsiTheme="minorEastAsia" w:eastAsiaTheme="minorEastAsia"/>
          <w:b/>
          <w:color w:val="auto"/>
          <w:sz w:val="24"/>
          <w:highlight w:val="none"/>
        </w:rPr>
      </w:pPr>
      <w:bookmarkStart w:id="26" w:name="_Toc2583661"/>
      <w:bookmarkStart w:id="27" w:name="_Toc518923100"/>
      <w:r>
        <w:rPr>
          <w:rFonts w:hint="eastAsia" w:asciiTheme="minorEastAsia" w:hAnsiTheme="minorEastAsia" w:eastAsiaTheme="minorEastAsia"/>
          <w:b/>
          <w:color w:val="auto"/>
          <w:sz w:val="24"/>
          <w:highlight w:val="none"/>
          <w:lang w:eastAsia="zh-CN"/>
        </w:rPr>
        <w:t>29.</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26"/>
      <w:bookmarkEnd w:id="27"/>
    </w:p>
    <w:p w14:paraId="6D586A1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77AE25D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5A5AAA78">
      <w:pPr>
        <w:spacing w:line="360" w:lineRule="auto"/>
        <w:ind w:firstLine="437"/>
        <w:outlineLvl w:val="2"/>
        <w:rPr>
          <w:rFonts w:asciiTheme="minorEastAsia" w:hAnsiTheme="minorEastAsia" w:eastAsiaTheme="minorEastAsia"/>
          <w:b/>
          <w:color w:val="auto"/>
          <w:sz w:val="24"/>
          <w:highlight w:val="none"/>
        </w:rPr>
      </w:pPr>
      <w:bookmarkStart w:id="28" w:name="_Toc518923101"/>
      <w:bookmarkStart w:id="29" w:name="_Toc2583662"/>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0</w:t>
      </w:r>
      <w:r>
        <w:rPr>
          <w:rFonts w:hint="eastAsia" w:asciiTheme="minorEastAsia" w:hAnsiTheme="minorEastAsia" w:eastAsiaTheme="minorEastAsia"/>
          <w:b/>
          <w:color w:val="auto"/>
          <w:sz w:val="24"/>
          <w:highlight w:val="none"/>
        </w:rPr>
        <w:t>.人员回避</w:t>
      </w:r>
      <w:bookmarkEnd w:id="28"/>
      <w:bookmarkEnd w:id="29"/>
    </w:p>
    <w:p w14:paraId="1ECAFE80">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2A7A5C3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65FF628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76444A0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09519B6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42664D9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3D89015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14:paraId="2C999294">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201F75D2">
      <w:pPr>
        <w:widowControl/>
        <w:jc w:val="left"/>
        <w:rPr>
          <w:rFonts w:ascii="宋体" w:hAnsi="宋体" w:eastAsia="宋体"/>
          <w:b/>
          <w:color w:val="auto"/>
          <w:sz w:val="28"/>
          <w:highlight w:val="none"/>
        </w:rPr>
      </w:pPr>
      <w:r>
        <w:rPr>
          <w:rFonts w:ascii="宋体" w:hAnsi="宋体" w:eastAsia="宋体"/>
          <w:color w:val="auto"/>
          <w:sz w:val="24"/>
          <w:highlight w:val="none"/>
        </w:rPr>
        <w:br w:type="page"/>
      </w:r>
    </w:p>
    <w:p w14:paraId="65CD53BB">
      <w:pPr>
        <w:spacing w:line="360" w:lineRule="auto"/>
        <w:jc w:val="center"/>
        <w:outlineLvl w:val="0"/>
        <w:rPr>
          <w:rFonts w:hint="eastAsia" w:ascii="宋体" w:hAnsi="宋体" w:eastAsia="宋体"/>
          <w:b/>
          <w:color w:val="auto"/>
          <w:sz w:val="28"/>
          <w:highlight w:val="none"/>
          <w:lang w:eastAsia="zh-CN"/>
        </w:rPr>
      </w:pPr>
      <w:bookmarkStart w:id="30" w:name="_Toc10891"/>
      <w:r>
        <w:rPr>
          <w:rFonts w:hint="eastAsia" w:ascii="宋体" w:hAnsi="宋体" w:eastAsia="宋体"/>
          <w:b/>
          <w:color w:val="auto"/>
          <w:sz w:val="28"/>
          <w:highlight w:val="none"/>
        </w:rPr>
        <w:t>第三章  采购需求</w:t>
      </w:r>
      <w:bookmarkEnd w:id="30"/>
    </w:p>
    <w:p w14:paraId="0AFA7F43">
      <w:pPr>
        <w:spacing w:line="360" w:lineRule="auto"/>
        <w:ind w:firstLine="437"/>
        <w:outlineLvl w:val="1"/>
        <w:rPr>
          <w:rFonts w:hint="eastAsia" w:ascii="宋体" w:hAnsi="宋体" w:eastAsia="宋体"/>
          <w:b/>
          <w:color w:val="auto"/>
          <w:sz w:val="24"/>
          <w:szCs w:val="18"/>
          <w:highlight w:val="none"/>
        </w:rPr>
      </w:pPr>
      <w:bookmarkStart w:id="31" w:name="_Toc32151"/>
      <w:bookmarkStart w:id="32" w:name="_Toc2554"/>
      <w:r>
        <w:rPr>
          <w:rFonts w:hint="eastAsia" w:ascii="宋体" w:hAnsi="宋体" w:eastAsia="宋体"/>
          <w:b/>
          <w:color w:val="auto"/>
          <w:sz w:val="24"/>
          <w:szCs w:val="18"/>
          <w:highlight w:val="none"/>
        </w:rPr>
        <w:t>一、采购需求前附表</w:t>
      </w:r>
      <w:bookmarkEnd w:id="31"/>
      <w:bookmarkEnd w:id="32"/>
    </w:p>
    <w:tbl>
      <w:tblPr>
        <w:tblStyle w:val="22"/>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895"/>
      </w:tblGrid>
      <w:tr w14:paraId="76D0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10D6A843">
            <w:pPr>
              <w:pStyle w:val="31"/>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37" w:type="pct"/>
            <w:vAlign w:val="center"/>
          </w:tcPr>
          <w:p w14:paraId="49C3D3BE">
            <w:pPr>
              <w:pStyle w:val="3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99" w:type="pct"/>
            <w:vAlign w:val="center"/>
          </w:tcPr>
          <w:p w14:paraId="2D8164DA">
            <w:pPr>
              <w:pStyle w:val="3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5A94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4295892F">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37" w:type="pct"/>
            <w:vAlign w:val="center"/>
          </w:tcPr>
          <w:p w14:paraId="4A5C8059">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99" w:type="pct"/>
            <w:vAlign w:val="center"/>
          </w:tcPr>
          <w:p w14:paraId="0C64C6B2">
            <w:pPr>
              <w:pStyle w:val="30"/>
              <w:widowControl w:val="0"/>
              <w:spacing w:before="0" w:beforeAutospacing="0" w:after="0" w:afterAutospacing="0" w:line="360" w:lineRule="auto"/>
              <w:jc w:val="both"/>
              <w:rPr>
                <w:rFonts w:hint="eastAsia"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single"/>
                <w:lang w:val="en-US" w:eastAsia="zh-CN"/>
              </w:rPr>
              <w:t>每服务年度第二个月内一次性支付全款。</w:t>
            </w:r>
          </w:p>
        </w:tc>
      </w:tr>
      <w:tr w14:paraId="2CF9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670D01BB">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37" w:type="pct"/>
            <w:vAlign w:val="center"/>
          </w:tcPr>
          <w:p w14:paraId="707EE75A">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99" w:type="pct"/>
            <w:vAlign w:val="center"/>
          </w:tcPr>
          <w:p w14:paraId="75913D3A">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采购人指定地点</w:t>
            </w:r>
            <w:r>
              <w:rPr>
                <w:rFonts w:hint="eastAsia" w:ascii="宋体" w:hAnsi="宋体" w:eastAsia="宋体"/>
                <w:b w:val="0"/>
                <w:color w:val="auto"/>
                <w:sz w:val="24"/>
                <w:highlight w:val="none"/>
                <w:u w:val="single"/>
              </w:rPr>
              <w:t xml:space="preserve"> </w:t>
            </w:r>
          </w:p>
        </w:tc>
      </w:tr>
      <w:tr w14:paraId="1F65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52AD2C42">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37" w:type="pct"/>
            <w:vAlign w:val="center"/>
          </w:tcPr>
          <w:p w14:paraId="7A514501">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服务</w:t>
            </w:r>
            <w:r>
              <w:rPr>
                <w:rFonts w:hint="eastAsia" w:ascii="宋体" w:hAnsi="宋体" w:eastAsia="宋体"/>
                <w:b w:val="0"/>
                <w:color w:val="auto"/>
                <w:sz w:val="24"/>
                <w:highlight w:val="none"/>
              </w:rPr>
              <w:t>期限</w:t>
            </w:r>
          </w:p>
        </w:tc>
        <w:tc>
          <w:tcPr>
            <w:tcW w:w="3299" w:type="pct"/>
            <w:vAlign w:val="center"/>
          </w:tcPr>
          <w:p w14:paraId="7618E6D2">
            <w:pPr>
              <w:pStyle w:val="3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u w:val="single"/>
                <w:lang w:val="en-US" w:eastAsia="zh-CN"/>
              </w:rPr>
              <w:t>三年，合同一年一签，根据服务供应商履约情况及采购人考评情况，双方可续签。</w:t>
            </w:r>
          </w:p>
        </w:tc>
      </w:tr>
    </w:tbl>
    <w:p w14:paraId="47654D50">
      <w:pPr>
        <w:numPr>
          <w:ilvl w:val="0"/>
          <w:numId w:val="0"/>
        </w:numPr>
        <w:spacing w:line="360" w:lineRule="auto"/>
        <w:ind w:firstLine="482" w:firstLineChars="200"/>
        <w:outlineLvl w:val="1"/>
        <w:rPr>
          <w:rFonts w:hint="eastAsia" w:ascii="宋体" w:hAnsi="宋体" w:eastAsia="宋体"/>
          <w:b/>
          <w:color w:val="auto"/>
          <w:sz w:val="24"/>
          <w:szCs w:val="18"/>
          <w:highlight w:val="none"/>
          <w:lang w:val="en-US" w:eastAsia="zh-CN"/>
        </w:rPr>
      </w:pPr>
      <w:bookmarkStart w:id="33" w:name="_Toc8753"/>
    </w:p>
    <w:bookmarkEnd w:id="33"/>
    <w:p w14:paraId="6B04807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二</w:t>
      </w:r>
      <w:r>
        <w:rPr>
          <w:rFonts w:hint="eastAsia" w:ascii="宋体" w:hAnsi="宋体" w:eastAsia="宋体"/>
          <w:color w:val="auto"/>
          <w:sz w:val="24"/>
          <w:highlight w:val="none"/>
        </w:rPr>
        <w:t>、基础服务要求：</w:t>
      </w:r>
    </w:p>
    <w:p w14:paraId="1AC287C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为采购人起草、审核、修改法律文件并出具法律意见，包括但不限于各类合同、内部规章制度、章程，确保文件合法合规，防范法律风险，维护采购人权益。原则上承办律师应在收件后2日内完成，对于急件审查修改，原则上应在收件当天完成。</w:t>
      </w:r>
    </w:p>
    <w:p w14:paraId="2C671B2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2.结合现代医院管理制度和合规运营管理要求，协助建立和完善内部合规制度，确保采购人在医疗服务、药品管理、医疗器械使用、收费定价等方面合法合规，避免因违法违规行为导致的法律责任和经济损失。</w:t>
      </w:r>
      <w:bookmarkStart w:id="34" w:name="OLE_LINK15"/>
    </w:p>
    <w:bookmarkEnd w:id="34"/>
    <w:p w14:paraId="55480FB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3.指派律师代理采购人委托的所有诉讼、仲裁案件，范围包括但不限于医疗纠纷、合同纠纷。免费代理采购人行政诉讼、劳动人事争议仲裁及诉讼。</w:t>
      </w:r>
    </w:p>
    <w:p w14:paraId="1B7F404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对采购人经营管理活动中出现的法律问题提供咨询，包括口头处理意见、书面意见、列席会议，对于一般性的法律问题，律师尽量即时予以解答，最晚不超过24小时；对于重大、疑难、复杂的问题，3个工作日内为采购人进行解答，并根据我院要求出具法律意见书和律师函。</w:t>
      </w:r>
    </w:p>
    <w:p w14:paraId="0B22B1F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5.遭遇突发性的事件，需要法律顾问单位指派律师紧急到场处理的，承办律师原则上在接到通知后2小时内到指定现场，积极参与、协助事件的处理。</w:t>
      </w:r>
    </w:p>
    <w:p w14:paraId="4E49E44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6.参与采购人重大对外谈判（含重大医疗纠纷谈判）及重大信访处理，协助采购人处理各项非讼法律事宜，并出具法律意见书或提供法律可行性意见。</w:t>
      </w:r>
      <w:r>
        <w:rPr>
          <w:rFonts w:hint="eastAsia" w:ascii="宋体" w:hAnsi="宋体" w:eastAsia="宋体"/>
          <w:color w:val="auto"/>
          <w:sz w:val="24"/>
          <w:highlight w:val="none"/>
        </w:rPr>
        <w:cr/>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7.到采购人指定地点为采购人职工提供法律咨询服务，每服务年度不少于6次，每次不少于3小时。</w:t>
      </w:r>
    </w:p>
    <w:p w14:paraId="03C7BC8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8.处理采购人委托的其他法律事务</w:t>
      </w:r>
    </w:p>
    <w:p w14:paraId="435DA51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三</w:t>
      </w:r>
      <w:r>
        <w:rPr>
          <w:rFonts w:hint="eastAsia" w:ascii="宋体" w:hAnsi="宋体" w:eastAsia="宋体"/>
          <w:color w:val="auto"/>
          <w:sz w:val="24"/>
          <w:highlight w:val="none"/>
        </w:rPr>
        <w:t>、其他要求</w:t>
      </w:r>
    </w:p>
    <w:p w14:paraId="1C41180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1.每服务年度内免费代理1起标的额10万元以内民事诉讼（本免费代理项目不含差旅费，由采购人报销）。</w:t>
      </w:r>
    </w:p>
    <w:p w14:paraId="724E2D1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2.为采购人员工提供法律培训，内容包括医疗纠纷风险防范、合同的签订及风险防范等，每服务年度不少于1次。</w:t>
      </w:r>
    </w:p>
    <w:p w14:paraId="2A4B1D8F">
      <w:pPr>
        <w:spacing w:line="360" w:lineRule="auto"/>
        <w:ind w:firstLine="435"/>
        <w:rPr>
          <w:rFonts w:hint="eastAsia" w:ascii="宋体" w:hAnsi="宋体" w:eastAsia="宋体"/>
          <w:color w:val="auto"/>
          <w:sz w:val="24"/>
          <w:highlight w:val="none"/>
        </w:rPr>
      </w:pPr>
    </w:p>
    <w:p w14:paraId="2D2BE49D">
      <w:pPr>
        <w:spacing w:line="360" w:lineRule="auto"/>
        <w:ind w:firstLine="435"/>
        <w:rPr>
          <w:rFonts w:hint="eastAsia" w:ascii="宋体" w:hAnsi="宋体" w:eastAsia="宋体"/>
          <w:color w:val="auto"/>
          <w:sz w:val="24"/>
          <w:highlight w:val="none"/>
        </w:rPr>
      </w:pPr>
    </w:p>
    <w:p w14:paraId="6E4735E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br w:type="page"/>
      </w:r>
    </w:p>
    <w:p w14:paraId="594606A6">
      <w:pPr>
        <w:spacing w:line="360" w:lineRule="auto"/>
        <w:jc w:val="center"/>
        <w:outlineLvl w:val="0"/>
        <w:rPr>
          <w:rFonts w:hint="eastAsia" w:ascii="宋体" w:hAnsi="宋体" w:eastAsia="宋体"/>
          <w:b/>
          <w:color w:val="auto"/>
          <w:sz w:val="28"/>
          <w:highlight w:val="none"/>
        </w:rPr>
      </w:pPr>
      <w:bookmarkStart w:id="35" w:name="_Toc4328"/>
      <w:bookmarkStart w:id="36" w:name="_Toc4682"/>
      <w:r>
        <w:rPr>
          <w:rFonts w:hint="eastAsia" w:ascii="宋体" w:hAnsi="宋体" w:eastAsia="宋体"/>
          <w:b/>
          <w:color w:val="auto"/>
          <w:sz w:val="28"/>
          <w:highlight w:val="none"/>
        </w:rPr>
        <w:t>第四章  评标方法和标准（综合评分法）</w:t>
      </w:r>
      <w:bookmarkEnd w:id="35"/>
    </w:p>
    <w:p w14:paraId="26BC9EB5">
      <w:pPr>
        <w:spacing w:line="360" w:lineRule="auto"/>
        <w:ind w:firstLine="437"/>
        <w:outlineLvl w:val="1"/>
        <w:rPr>
          <w:rFonts w:asciiTheme="minorEastAsia" w:hAnsiTheme="minorEastAsia" w:eastAsiaTheme="minorEastAsia"/>
          <w:b/>
          <w:color w:val="auto"/>
          <w:sz w:val="24"/>
          <w:highlight w:val="none"/>
        </w:rPr>
      </w:pPr>
      <w:bookmarkStart w:id="37" w:name="_Toc22115"/>
      <w:bookmarkStart w:id="38" w:name="_Toc6560"/>
      <w:r>
        <w:rPr>
          <w:rFonts w:hint="eastAsia" w:asciiTheme="minorEastAsia" w:hAnsiTheme="minorEastAsia" w:eastAsiaTheme="minorEastAsia"/>
          <w:b/>
          <w:color w:val="auto"/>
          <w:sz w:val="24"/>
          <w:highlight w:val="none"/>
        </w:rPr>
        <w:t>一、总则</w:t>
      </w:r>
      <w:bookmarkEnd w:id="37"/>
      <w:bookmarkEnd w:id="38"/>
    </w:p>
    <w:p w14:paraId="5867271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本项目将按照招标文件第二章投标人须知的相关要求</w:t>
      </w:r>
      <w:r>
        <w:rPr>
          <w:rFonts w:asciiTheme="minorEastAsia" w:hAnsiTheme="minorEastAsia" w:eastAsiaTheme="minorEastAsia"/>
          <w:color w:val="auto"/>
          <w:sz w:val="24"/>
          <w:highlight w:val="none"/>
        </w:rPr>
        <w:t>及本章的规定评标。</w:t>
      </w:r>
    </w:p>
    <w:p w14:paraId="3F06EB61">
      <w:pPr>
        <w:spacing w:line="360" w:lineRule="auto"/>
        <w:ind w:firstLine="437"/>
        <w:outlineLvl w:val="1"/>
        <w:rPr>
          <w:rFonts w:asciiTheme="minorEastAsia" w:hAnsiTheme="minorEastAsia" w:eastAsiaTheme="minorEastAsia"/>
          <w:b/>
          <w:color w:val="auto"/>
          <w:sz w:val="24"/>
          <w:highlight w:val="none"/>
        </w:rPr>
      </w:pPr>
      <w:bookmarkStart w:id="39" w:name="_Toc28533"/>
      <w:bookmarkStart w:id="40" w:name="_Toc27343"/>
      <w:r>
        <w:rPr>
          <w:rFonts w:hint="eastAsia" w:asciiTheme="minorEastAsia" w:hAnsiTheme="minorEastAsia" w:eastAsiaTheme="minorEastAsia"/>
          <w:b/>
          <w:color w:val="auto"/>
          <w:sz w:val="24"/>
          <w:highlight w:val="none"/>
        </w:rPr>
        <w:t>二、评标方法</w:t>
      </w:r>
      <w:bookmarkEnd w:id="39"/>
      <w:bookmarkEnd w:id="40"/>
    </w:p>
    <w:p w14:paraId="0983C2DC">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2"/>
        <w:tblW w:w="58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98"/>
        <w:gridCol w:w="5560"/>
        <w:gridCol w:w="2043"/>
      </w:tblGrid>
      <w:tr w14:paraId="296B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29EB4DA5">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1508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bottom w:val="single" w:color="auto" w:sz="4" w:space="0"/>
            </w:tcBorders>
            <w:vAlign w:val="center"/>
          </w:tcPr>
          <w:p w14:paraId="7CD28867">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756" w:type="pct"/>
            <w:tcBorders>
              <w:bottom w:val="single" w:color="auto" w:sz="4" w:space="0"/>
            </w:tcBorders>
            <w:vAlign w:val="center"/>
          </w:tcPr>
          <w:p w14:paraId="4029F816">
            <w:pPr>
              <w:pStyle w:val="31"/>
              <w:pBdr>
                <w:bottom w:val="none" w:color="auto" w:sz="0" w:space="0"/>
              </w:pBdr>
              <w:tabs>
                <w:tab w:val="clear" w:pos="4153"/>
                <w:tab w:val="clear" w:pos="8306"/>
              </w:tabs>
              <w:snapToGrid w:val="0"/>
              <w:spacing w:line="360" w:lineRule="auto"/>
              <w:ind w:right="-10"/>
              <w:jc w:val="center"/>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审查指标</w:t>
            </w:r>
          </w:p>
        </w:tc>
        <w:tc>
          <w:tcPr>
            <w:tcW w:w="2806" w:type="pct"/>
            <w:tcBorders>
              <w:bottom w:val="single" w:color="auto" w:sz="4" w:space="0"/>
            </w:tcBorders>
            <w:vAlign w:val="center"/>
          </w:tcPr>
          <w:p w14:paraId="6AB57226">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审查标准</w:t>
            </w:r>
          </w:p>
        </w:tc>
        <w:tc>
          <w:tcPr>
            <w:tcW w:w="1028" w:type="pct"/>
            <w:tcBorders>
              <w:bottom w:val="single" w:color="auto" w:sz="4" w:space="0"/>
            </w:tcBorders>
            <w:vAlign w:val="center"/>
          </w:tcPr>
          <w:p w14:paraId="5A8B24C5">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7029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07" w:type="pct"/>
            <w:tcBorders>
              <w:bottom w:val="single" w:color="auto" w:sz="4" w:space="0"/>
            </w:tcBorders>
            <w:vAlign w:val="center"/>
          </w:tcPr>
          <w:p w14:paraId="6628EFFE">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756" w:type="pct"/>
            <w:tcBorders>
              <w:bottom w:val="single" w:color="auto" w:sz="4" w:space="0"/>
            </w:tcBorders>
            <w:vAlign w:val="center"/>
          </w:tcPr>
          <w:p w14:paraId="08D0B1F3">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806" w:type="pct"/>
            <w:tcBorders>
              <w:bottom w:val="single" w:color="auto" w:sz="4" w:space="0"/>
            </w:tcBorders>
            <w:vAlign w:val="center"/>
          </w:tcPr>
          <w:p w14:paraId="511F10A8">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供有效的营业执照；</w:t>
            </w:r>
          </w:p>
          <w:p w14:paraId="5862C98E">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供有效的事业单位法人证书；</w:t>
            </w:r>
          </w:p>
          <w:p w14:paraId="3B602A94">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ascii="宋体" w:hAnsi="宋体" w:eastAsia="宋体" w:cs="宋体"/>
                <w:sz w:val="24"/>
                <w:szCs w:val="24"/>
                <w:highlight w:val="none"/>
              </w:rPr>
              <w:t>登记证书等证明文件；</w:t>
            </w:r>
          </w:p>
          <w:p w14:paraId="662C803B">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供有效的个体工商户营业执照；</w:t>
            </w:r>
          </w:p>
          <w:p w14:paraId="02F2FE81">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供有效的自然人身份证明</w:t>
            </w:r>
            <w:r>
              <w:rPr>
                <w:rFonts w:hint="eastAsia" w:ascii="宋体" w:hAnsi="宋体" w:eastAsia="宋体" w:cs="宋体"/>
                <w:sz w:val="24"/>
                <w:szCs w:val="24"/>
                <w:highlight w:val="none"/>
                <w:lang w:eastAsia="zh-CN"/>
              </w:rPr>
              <w:t>；</w:t>
            </w:r>
          </w:p>
        </w:tc>
        <w:tc>
          <w:tcPr>
            <w:tcW w:w="1028" w:type="pct"/>
            <w:vAlign w:val="center"/>
          </w:tcPr>
          <w:p w14:paraId="5FB0E951">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全部内容。</w:t>
            </w:r>
          </w:p>
        </w:tc>
      </w:tr>
      <w:tr w14:paraId="1BCA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07" w:type="pct"/>
            <w:tcBorders>
              <w:bottom w:val="single" w:color="auto" w:sz="4" w:space="0"/>
            </w:tcBorders>
            <w:vAlign w:val="center"/>
          </w:tcPr>
          <w:p w14:paraId="6DF99516">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756" w:type="pct"/>
            <w:tcBorders>
              <w:bottom w:val="single" w:color="auto" w:sz="4" w:space="0"/>
            </w:tcBorders>
            <w:vAlign w:val="center"/>
          </w:tcPr>
          <w:p w14:paraId="54287A8A">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806" w:type="pct"/>
            <w:tcBorders>
              <w:bottom w:val="single" w:color="auto" w:sz="4" w:space="0"/>
            </w:tcBorders>
            <w:vAlign w:val="center"/>
          </w:tcPr>
          <w:p w14:paraId="7603AEB6">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lang w:eastAsia="zh-CN"/>
              </w:rPr>
              <w:t>。</w:t>
            </w:r>
          </w:p>
        </w:tc>
        <w:tc>
          <w:tcPr>
            <w:tcW w:w="1028" w:type="pct"/>
            <w:vAlign w:val="center"/>
          </w:tcPr>
          <w:p w14:paraId="5A8796BA">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5BC1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bottom w:val="single" w:color="auto" w:sz="4" w:space="0"/>
            </w:tcBorders>
            <w:vAlign w:val="center"/>
          </w:tcPr>
          <w:p w14:paraId="3CBCF1FF">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756" w:type="pct"/>
            <w:tcBorders>
              <w:bottom w:val="single" w:color="auto" w:sz="4" w:space="0"/>
            </w:tcBorders>
            <w:vAlign w:val="center"/>
          </w:tcPr>
          <w:p w14:paraId="37E66E5A">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806" w:type="pct"/>
            <w:tcBorders>
              <w:bottom w:val="single" w:color="auto" w:sz="4" w:space="0"/>
            </w:tcBorders>
            <w:vAlign w:val="center"/>
          </w:tcPr>
          <w:p w14:paraId="5F95EB80">
            <w:pPr>
              <w:spacing w:after="50" w:line="360" w:lineRule="auto"/>
              <w:ind w:right="-10" w:rightChars="0"/>
              <w:jc w:val="left"/>
              <w:rPr>
                <w:highlight w:val="none"/>
              </w:rPr>
            </w:pPr>
            <w:r>
              <w:rPr>
                <w:rFonts w:hint="eastAsia" w:ascii="宋体" w:hAnsi="宋体" w:eastAsia="宋体" w:cs="宋体"/>
                <w:sz w:val="24"/>
                <w:szCs w:val="24"/>
                <w:highlight w:val="none"/>
                <w:lang w:val="zh-CN" w:eastAsia="zh-CN"/>
              </w:rPr>
              <w:t>投标人不得存在投标人须知正文第1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28" w:type="pct"/>
            <w:tcBorders>
              <w:bottom w:val="single" w:color="auto" w:sz="4" w:space="0"/>
            </w:tcBorders>
            <w:vAlign w:val="center"/>
          </w:tcPr>
          <w:p w14:paraId="1640C256">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highlight w:val="none"/>
              </w:rPr>
              <w:t>无须投标人</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供，由采购人或采购代理机构查询。</w:t>
            </w:r>
          </w:p>
        </w:tc>
      </w:tr>
      <w:tr w14:paraId="191F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bottom w:val="single" w:color="auto" w:sz="4" w:space="0"/>
            </w:tcBorders>
            <w:vAlign w:val="center"/>
          </w:tcPr>
          <w:p w14:paraId="4B7955FA">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w:t>
            </w:r>
          </w:p>
        </w:tc>
        <w:tc>
          <w:tcPr>
            <w:tcW w:w="756" w:type="pct"/>
            <w:tcBorders>
              <w:bottom w:val="single" w:color="auto" w:sz="4" w:space="0"/>
            </w:tcBorders>
            <w:vAlign w:val="center"/>
          </w:tcPr>
          <w:p w14:paraId="1E5DC5F7">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10"/>
                <w:sz w:val="24"/>
                <w:szCs w:val="24"/>
                <w:highlight w:val="none"/>
              </w:rPr>
              <w:t>其它落实政府采</w:t>
            </w:r>
            <w:r>
              <w:rPr>
                <w:rFonts w:ascii="宋体" w:hAnsi="宋体" w:eastAsia="宋体" w:cs="宋体"/>
                <w:spacing w:val="11"/>
                <w:sz w:val="24"/>
                <w:szCs w:val="24"/>
                <w:highlight w:val="none"/>
              </w:rPr>
              <w:t>购政策的资格要</w:t>
            </w:r>
            <w:r>
              <w:rPr>
                <w:rFonts w:ascii="宋体" w:hAnsi="宋体" w:eastAsia="宋体" w:cs="宋体"/>
                <w:sz w:val="24"/>
                <w:szCs w:val="24"/>
                <w:highlight w:val="none"/>
              </w:rPr>
              <w:t>求</w:t>
            </w:r>
          </w:p>
        </w:tc>
        <w:tc>
          <w:tcPr>
            <w:tcW w:w="2806" w:type="pct"/>
            <w:tcBorders>
              <w:bottom w:val="single" w:color="auto" w:sz="4" w:space="0"/>
            </w:tcBorders>
            <w:vAlign w:val="center"/>
          </w:tcPr>
          <w:p w14:paraId="4562F6BC">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2"/>
                <w:sz w:val="24"/>
                <w:szCs w:val="24"/>
                <w:highlight w:val="none"/>
              </w:rPr>
              <w:t>如有，见第一章《投标邀请》</w:t>
            </w:r>
          </w:p>
        </w:tc>
        <w:tc>
          <w:tcPr>
            <w:tcW w:w="1028" w:type="pct"/>
            <w:tcBorders>
              <w:bottom w:val="single" w:color="auto" w:sz="4" w:space="0"/>
            </w:tcBorders>
            <w:vAlign w:val="center"/>
          </w:tcPr>
          <w:p w14:paraId="04AD34AA">
            <w:pPr>
              <w:spacing w:after="50" w:line="360" w:lineRule="auto"/>
              <w:ind w:right="-10"/>
              <w:jc w:val="both"/>
              <w:rPr>
                <w:rFonts w:hint="eastAsia" w:ascii="宋体" w:hAnsi="宋体" w:eastAsia="宋体"/>
                <w:color w:val="auto"/>
                <w:sz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全部内容。</w:t>
            </w:r>
          </w:p>
        </w:tc>
      </w:tr>
      <w:tr w14:paraId="3B06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6701870C">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5</w:t>
            </w:r>
          </w:p>
        </w:tc>
        <w:tc>
          <w:tcPr>
            <w:tcW w:w="756" w:type="pct"/>
            <w:vAlign w:val="center"/>
          </w:tcPr>
          <w:p w14:paraId="47F5860B">
            <w:pPr>
              <w:spacing w:after="50" w:line="360" w:lineRule="auto"/>
              <w:ind w:right="-10"/>
              <w:jc w:val="both"/>
              <w:rPr>
                <w:rFonts w:ascii="宋体" w:hAnsi="宋体" w:eastAsia="宋体" w:cs="宋体"/>
                <w:spacing w:val="10"/>
                <w:sz w:val="24"/>
                <w:szCs w:val="24"/>
                <w:highlight w:val="none"/>
                <w:lang w:val="en-US" w:eastAsia="zh-CN"/>
              </w:rPr>
            </w:pPr>
            <w:r>
              <w:rPr>
                <w:rFonts w:ascii="宋体" w:hAnsi="宋体" w:eastAsia="宋体" w:cs="宋体"/>
                <w:spacing w:val="10"/>
                <w:sz w:val="24"/>
                <w:szCs w:val="24"/>
                <w:highlight w:val="none"/>
              </w:rPr>
              <w:t>其他特定资格要求</w:t>
            </w:r>
          </w:p>
        </w:tc>
        <w:tc>
          <w:tcPr>
            <w:tcW w:w="2806" w:type="pct"/>
            <w:vAlign w:val="center"/>
          </w:tcPr>
          <w:p w14:paraId="7D3AADFB">
            <w:pPr>
              <w:spacing w:after="50" w:line="360" w:lineRule="auto"/>
              <w:ind w:right="-10"/>
              <w:jc w:val="both"/>
              <w:rPr>
                <w:rFonts w:ascii="宋体" w:hAnsi="宋体" w:eastAsia="宋体" w:cs="宋体"/>
                <w:spacing w:val="10"/>
                <w:sz w:val="24"/>
                <w:szCs w:val="24"/>
                <w:highlight w:val="none"/>
              </w:rPr>
            </w:pPr>
            <w:r>
              <w:rPr>
                <w:rFonts w:ascii="宋体" w:hAnsi="宋体" w:eastAsia="宋体" w:cs="宋体"/>
                <w:spacing w:val="10"/>
                <w:sz w:val="24"/>
                <w:szCs w:val="24"/>
                <w:highlight w:val="none"/>
              </w:rPr>
              <w:t>如有，见第一章《投标邀请》</w:t>
            </w:r>
          </w:p>
        </w:tc>
        <w:tc>
          <w:tcPr>
            <w:tcW w:w="1028" w:type="pct"/>
            <w:vAlign w:val="center"/>
          </w:tcPr>
          <w:p w14:paraId="0D38F67D">
            <w:pPr>
              <w:spacing w:after="50" w:line="360" w:lineRule="auto"/>
              <w:ind w:right="-10"/>
              <w:jc w:val="both"/>
              <w:rPr>
                <w:rFonts w:ascii="宋体" w:hAnsi="宋体" w:eastAsia="宋体" w:cs="宋体"/>
                <w:spacing w:val="10"/>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全部内容。</w:t>
            </w:r>
          </w:p>
        </w:tc>
      </w:tr>
    </w:tbl>
    <w:p w14:paraId="27355E08">
      <w:pPr>
        <w:spacing w:line="360" w:lineRule="auto"/>
        <w:ind w:firstLine="435"/>
        <w:rPr>
          <w:rFonts w:asciiTheme="minorEastAsia" w:hAnsiTheme="minorEastAsia" w:eastAsiaTheme="minorEastAsia"/>
          <w:color w:val="auto"/>
          <w:sz w:val="24"/>
          <w:highlight w:val="none"/>
        </w:rPr>
      </w:pPr>
      <w:bookmarkStart w:id="41" w:name="_Hlk16461707"/>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bookmarkEnd w:id="41"/>
    <w:p w14:paraId="7770FF9F">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264377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2"/>
        <w:tblW w:w="5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239"/>
        <w:gridCol w:w="4495"/>
        <w:gridCol w:w="2331"/>
      </w:tblGrid>
      <w:tr w14:paraId="4258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6D369439">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77EE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88" w:type="pct"/>
            <w:tcBorders>
              <w:bottom w:val="single" w:color="auto" w:sz="4" w:space="0"/>
            </w:tcBorders>
            <w:vAlign w:val="center"/>
          </w:tcPr>
          <w:p w14:paraId="74B212CC">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139" w:type="pct"/>
            <w:tcBorders>
              <w:bottom w:val="single" w:color="auto" w:sz="4" w:space="0"/>
            </w:tcBorders>
            <w:vAlign w:val="center"/>
          </w:tcPr>
          <w:p w14:paraId="639B3A56">
            <w:pPr>
              <w:pStyle w:val="31"/>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2287" w:type="pct"/>
            <w:tcBorders>
              <w:bottom w:val="single" w:color="auto" w:sz="4" w:space="0"/>
            </w:tcBorders>
            <w:vAlign w:val="center"/>
          </w:tcPr>
          <w:p w14:paraId="29CEE087">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184" w:type="pct"/>
            <w:tcBorders>
              <w:bottom w:val="single" w:color="auto" w:sz="4" w:space="0"/>
            </w:tcBorders>
            <w:vAlign w:val="center"/>
          </w:tcPr>
          <w:p w14:paraId="4BA5F242">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4F22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153288F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139" w:type="pct"/>
            <w:vAlign w:val="center"/>
          </w:tcPr>
          <w:p w14:paraId="6B921DA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2287" w:type="pct"/>
            <w:vAlign w:val="center"/>
          </w:tcPr>
          <w:p w14:paraId="4B257807">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184" w:type="pct"/>
            <w:vAlign w:val="center"/>
          </w:tcPr>
          <w:p w14:paraId="54B3D5B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444F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71394A54">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39" w:type="pct"/>
            <w:vAlign w:val="center"/>
          </w:tcPr>
          <w:p w14:paraId="11BC748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2287" w:type="pct"/>
            <w:vAlign w:val="center"/>
          </w:tcPr>
          <w:p w14:paraId="2C4F8BD1">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184" w:type="pct"/>
            <w:vAlign w:val="center"/>
          </w:tcPr>
          <w:p w14:paraId="123D7142">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5575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52558999">
            <w:pPr>
              <w:adjustRightInd w:val="0"/>
              <w:snapToGrid w:val="0"/>
              <w:spacing w:line="360" w:lineRule="auto"/>
              <w:ind w:right="-1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139" w:type="pct"/>
            <w:vAlign w:val="center"/>
          </w:tcPr>
          <w:p w14:paraId="71C8D383">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2287" w:type="pct"/>
            <w:vAlign w:val="center"/>
          </w:tcPr>
          <w:p w14:paraId="6A4DF46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184" w:type="pct"/>
            <w:vAlign w:val="center"/>
          </w:tcPr>
          <w:p w14:paraId="10BC7FC8">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法定代表人参加投标的无需此件，提供身份证明即可。详见第六章投标文件格式</w:t>
            </w:r>
            <w:r>
              <w:rPr>
                <w:rFonts w:hint="eastAsia" w:asciiTheme="minorEastAsia" w:hAnsiTheme="minorEastAsia" w:eastAsiaTheme="minorEastAsia"/>
                <w:color w:val="auto"/>
                <w:sz w:val="24"/>
                <w:highlight w:val="none"/>
                <w:lang w:eastAsia="zh-CN"/>
              </w:rPr>
              <w:t>。</w:t>
            </w:r>
          </w:p>
        </w:tc>
      </w:tr>
      <w:tr w14:paraId="70FA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5CD14DE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139" w:type="pct"/>
            <w:vAlign w:val="center"/>
          </w:tcPr>
          <w:p w14:paraId="4C39CD65">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2287" w:type="pct"/>
            <w:vAlign w:val="center"/>
          </w:tcPr>
          <w:p w14:paraId="05386A68">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184" w:type="pct"/>
            <w:vAlign w:val="center"/>
          </w:tcPr>
          <w:p w14:paraId="02C47557">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0CF1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7B6824B8">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1139" w:type="pct"/>
            <w:vAlign w:val="center"/>
          </w:tcPr>
          <w:p w14:paraId="788908B6">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2287" w:type="pct"/>
            <w:vAlign w:val="center"/>
          </w:tcPr>
          <w:p w14:paraId="3D2940D1">
            <w:pPr>
              <w:spacing w:after="50" w:line="360" w:lineRule="auto"/>
              <w:ind w:right="-10"/>
              <w:jc w:val="center"/>
              <w:rPr>
                <w:rFonts w:hint="default"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实质性要求</w:t>
            </w:r>
          </w:p>
        </w:tc>
        <w:tc>
          <w:tcPr>
            <w:tcW w:w="1184" w:type="pct"/>
            <w:vAlign w:val="center"/>
          </w:tcPr>
          <w:p w14:paraId="0BE20E89">
            <w:pPr>
              <w:adjustRightInd w:val="0"/>
              <w:snapToGrid w:val="0"/>
              <w:spacing w:line="360" w:lineRule="auto"/>
              <w:ind w:right="-10"/>
              <w:jc w:val="center"/>
              <w:rPr>
                <w:rFonts w:asciiTheme="minorEastAsia" w:hAnsiTheme="minorEastAsia" w:eastAsiaTheme="minorEastAsia"/>
                <w:color w:val="auto"/>
                <w:sz w:val="24"/>
                <w:highlight w:val="none"/>
              </w:rPr>
            </w:pPr>
          </w:p>
        </w:tc>
      </w:tr>
    </w:tbl>
    <w:p w14:paraId="357D9A8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58775A00">
      <w:pPr>
        <w:spacing w:line="360" w:lineRule="auto"/>
        <w:ind w:firstLine="437"/>
        <w:outlineLvl w:val="2"/>
        <w:rPr>
          <w:rFonts w:ascii="宋体" w:hAnsi="宋体" w:eastAsia="宋体"/>
          <w:color w:val="auto"/>
          <w:sz w:val="24"/>
          <w:highlight w:val="none"/>
        </w:rPr>
      </w:pPr>
      <w:r>
        <w:rPr>
          <w:rFonts w:hint="eastAsia" w:ascii="宋体" w:hAnsi="宋体" w:eastAsia="宋体"/>
          <w:color w:val="auto"/>
          <w:sz w:val="24"/>
          <w:highlight w:val="none"/>
        </w:rPr>
        <w:t>2.3详细审查</w:t>
      </w:r>
    </w:p>
    <w:p w14:paraId="03D6393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.3.1</w:t>
      </w:r>
      <w:r>
        <w:rPr>
          <w:rFonts w:hint="eastAsia" w:ascii="宋体" w:hAnsi="宋体" w:eastAsia="宋体"/>
          <w:color w:val="auto"/>
          <w:sz w:val="24"/>
          <w:highlight w:val="none"/>
        </w:rPr>
        <w:t>评标委员会按照下表对投标文件进行详细审查和评分。</w:t>
      </w:r>
    </w:p>
    <w:p w14:paraId="76FEC62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分，其中：资信</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技术</w:t>
      </w:r>
      <w:r>
        <w:rPr>
          <w:rFonts w:hint="eastAsia" w:ascii="宋体" w:hAnsi="宋体" w:eastAsia="宋体"/>
          <w:color w:val="auto"/>
          <w:sz w:val="24"/>
          <w:highlight w:val="none"/>
        </w:rPr>
        <w:t>分值占总分值的权重为</w:t>
      </w:r>
      <w:r>
        <w:rPr>
          <w:rFonts w:hint="eastAsia" w:ascii="宋体" w:hAnsi="宋体" w:eastAsia="宋体"/>
          <w:color w:val="auto"/>
          <w:sz w:val="24"/>
          <w:highlight w:val="none"/>
          <w:u w:val="single"/>
          <w:lang w:val="en-US" w:eastAsia="zh-CN"/>
        </w:rPr>
        <w:t>50</w:t>
      </w:r>
      <w:r>
        <w:rPr>
          <w:rFonts w:ascii="宋体" w:hAnsi="宋体" w:eastAsia="宋体"/>
          <w:color w:val="auto"/>
          <w:sz w:val="24"/>
          <w:highlight w:val="none"/>
        </w:rPr>
        <w:t>%，价格分值占总分值的权重为</w:t>
      </w:r>
      <w:r>
        <w:rPr>
          <w:rFonts w:hint="eastAsia" w:ascii="宋体" w:hAnsi="宋体" w:eastAsia="宋体"/>
          <w:color w:val="auto"/>
          <w:sz w:val="24"/>
          <w:highlight w:val="none"/>
          <w:u w:val="single"/>
          <w:lang w:val="en-US" w:eastAsia="zh-CN"/>
        </w:rPr>
        <w:t>50</w:t>
      </w:r>
      <w:r>
        <w:rPr>
          <w:rFonts w:ascii="宋体" w:hAnsi="宋体" w:eastAsia="宋体"/>
          <w:color w:val="auto"/>
          <w:sz w:val="24"/>
          <w:highlight w:val="none"/>
        </w:rPr>
        <w:t>%。具体评分细则如下：</w:t>
      </w:r>
    </w:p>
    <w:tbl>
      <w:tblPr>
        <w:tblStyle w:val="22"/>
        <w:tblW w:w="5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361"/>
        <w:gridCol w:w="6046"/>
        <w:gridCol w:w="1071"/>
      </w:tblGrid>
      <w:tr w14:paraId="2307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39" w:type="pct"/>
            <w:tcBorders>
              <w:top w:val="single" w:color="auto" w:sz="4" w:space="0"/>
              <w:left w:val="single" w:color="auto" w:sz="4" w:space="0"/>
              <w:bottom w:val="single" w:color="auto" w:sz="4" w:space="0"/>
              <w:right w:val="single" w:color="auto" w:sz="4" w:space="0"/>
            </w:tcBorders>
            <w:vAlign w:val="center"/>
          </w:tcPr>
          <w:p w14:paraId="34E3155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类别</w:t>
            </w:r>
          </w:p>
        </w:tc>
        <w:tc>
          <w:tcPr>
            <w:tcW w:w="684" w:type="pct"/>
            <w:tcBorders>
              <w:top w:val="single" w:color="auto" w:sz="4" w:space="0"/>
              <w:left w:val="single" w:color="auto" w:sz="4" w:space="0"/>
              <w:bottom w:val="single" w:color="auto" w:sz="4" w:space="0"/>
              <w:right w:val="single" w:color="auto" w:sz="4" w:space="0"/>
            </w:tcBorders>
            <w:vAlign w:val="center"/>
          </w:tcPr>
          <w:p w14:paraId="63879FE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3038" w:type="pct"/>
            <w:tcBorders>
              <w:top w:val="single" w:color="auto" w:sz="4" w:space="0"/>
              <w:left w:val="single" w:color="auto" w:sz="4" w:space="0"/>
              <w:bottom w:val="single" w:color="auto" w:sz="4" w:space="0"/>
              <w:right w:val="single" w:color="auto" w:sz="4" w:space="0"/>
            </w:tcBorders>
            <w:vAlign w:val="center"/>
          </w:tcPr>
          <w:p w14:paraId="1464B66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537" w:type="pct"/>
            <w:tcBorders>
              <w:top w:val="single" w:color="auto" w:sz="4" w:space="0"/>
              <w:left w:val="single" w:color="auto" w:sz="4" w:space="0"/>
              <w:bottom w:val="single" w:color="auto" w:sz="4" w:space="0"/>
              <w:right w:val="single" w:color="auto" w:sz="4" w:space="0"/>
            </w:tcBorders>
            <w:vAlign w:val="center"/>
          </w:tcPr>
          <w:p w14:paraId="70E0A48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分值范围</w:t>
            </w:r>
          </w:p>
        </w:tc>
      </w:tr>
      <w:tr w14:paraId="3A2B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restart"/>
            <w:tcBorders>
              <w:top w:val="single" w:color="auto" w:sz="4" w:space="0"/>
              <w:left w:val="single" w:color="auto" w:sz="4" w:space="0"/>
              <w:right w:val="single" w:color="auto" w:sz="4" w:space="0"/>
            </w:tcBorders>
            <w:vAlign w:val="center"/>
          </w:tcPr>
          <w:p w14:paraId="0561275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资信分</w:t>
            </w:r>
          </w:p>
          <w:p w14:paraId="1F5E0AE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（50分）</w:t>
            </w:r>
          </w:p>
        </w:tc>
        <w:tc>
          <w:tcPr>
            <w:tcW w:w="684" w:type="pct"/>
            <w:vMerge w:val="restart"/>
            <w:tcBorders>
              <w:top w:val="single" w:color="auto" w:sz="4" w:space="0"/>
              <w:left w:val="single" w:color="auto" w:sz="4" w:space="0"/>
              <w:right w:val="single" w:color="auto" w:sz="4" w:space="0"/>
            </w:tcBorders>
            <w:vAlign w:val="center"/>
          </w:tcPr>
          <w:p w14:paraId="2178C44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服务能力</w:t>
            </w:r>
          </w:p>
        </w:tc>
        <w:tc>
          <w:tcPr>
            <w:tcW w:w="3038" w:type="pct"/>
            <w:tcBorders>
              <w:top w:val="single" w:color="auto" w:sz="4" w:space="0"/>
              <w:left w:val="single" w:color="auto" w:sz="4" w:space="0"/>
              <w:bottom w:val="single" w:color="auto" w:sz="4" w:space="0"/>
              <w:right w:val="single" w:color="auto" w:sz="4" w:space="0"/>
            </w:tcBorders>
            <w:vAlign w:val="center"/>
          </w:tcPr>
          <w:p w14:paraId="4826397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2021年1月1日以来，主办律师代理过医疗损害责任纠纷案件15宗</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得20分；每增加一宗有效案件得2分，本项最高30分。（提供</w:t>
            </w:r>
            <w:bookmarkStart w:id="42" w:name="OLE_LINK14"/>
            <w:r>
              <w:rPr>
                <w:rFonts w:hint="eastAsia" w:ascii="宋体" w:hAnsi="宋体" w:eastAsia="宋体" w:cs="宋体"/>
                <w:color w:val="auto"/>
                <w:sz w:val="21"/>
                <w:szCs w:val="21"/>
                <w:highlight w:val="none"/>
              </w:rPr>
              <w:t>案件清单及案件判决书</w:t>
            </w:r>
            <w:bookmarkEnd w:id="42"/>
            <w:r>
              <w:rPr>
                <w:rFonts w:hint="eastAsia" w:ascii="宋体" w:hAnsi="宋体" w:eastAsia="宋体" w:cs="宋体"/>
                <w:color w:val="auto"/>
                <w:sz w:val="21"/>
                <w:szCs w:val="21"/>
                <w:highlight w:val="none"/>
              </w:rPr>
              <w:t>、裁定书、调解书，含医调委调解，案件不同阶段视为同一宗）</w:t>
            </w:r>
          </w:p>
        </w:tc>
        <w:tc>
          <w:tcPr>
            <w:tcW w:w="537" w:type="pct"/>
            <w:tcBorders>
              <w:top w:val="single" w:color="auto" w:sz="4" w:space="0"/>
              <w:left w:val="single" w:color="auto" w:sz="4" w:space="0"/>
              <w:bottom w:val="single" w:color="auto" w:sz="4" w:space="0"/>
              <w:right w:val="single" w:color="auto" w:sz="4" w:space="0"/>
            </w:tcBorders>
            <w:vAlign w:val="center"/>
          </w:tcPr>
          <w:p w14:paraId="4FA850F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0-30分</w:t>
            </w:r>
          </w:p>
        </w:tc>
      </w:tr>
      <w:tr w14:paraId="6D9D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39" w:type="pct"/>
            <w:vMerge w:val="continue"/>
            <w:tcBorders>
              <w:left w:val="single" w:color="auto" w:sz="4" w:space="0"/>
              <w:right w:val="single" w:color="auto" w:sz="4" w:space="0"/>
            </w:tcBorders>
            <w:vAlign w:val="center"/>
          </w:tcPr>
          <w:p w14:paraId="2107AFF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p>
        </w:tc>
        <w:tc>
          <w:tcPr>
            <w:tcW w:w="684" w:type="pct"/>
            <w:vMerge w:val="continue"/>
            <w:tcBorders>
              <w:left w:val="single" w:color="auto" w:sz="4" w:space="0"/>
              <w:bottom w:val="single" w:color="auto" w:sz="4" w:space="0"/>
              <w:right w:val="single" w:color="auto" w:sz="4" w:space="0"/>
            </w:tcBorders>
            <w:vAlign w:val="center"/>
          </w:tcPr>
          <w:p w14:paraId="39CCB40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u w:val="none"/>
                <w:lang w:val="en-US" w:eastAsia="zh-CN"/>
              </w:rPr>
            </w:pPr>
          </w:p>
        </w:tc>
        <w:tc>
          <w:tcPr>
            <w:tcW w:w="3038" w:type="pct"/>
            <w:tcBorders>
              <w:top w:val="single" w:color="auto" w:sz="4" w:space="0"/>
              <w:left w:val="single" w:color="auto" w:sz="4" w:space="0"/>
              <w:right w:val="single" w:color="auto" w:sz="4" w:space="0"/>
            </w:tcBorders>
            <w:vAlign w:val="center"/>
          </w:tcPr>
          <w:p w14:paraId="183111A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2021年1月1日以来，法律顾问团队成员代理过医疗机构医疗损害责任纠纷之外的案件，每增加一宗有效案件得2分，本项最高10分。（提供案件清单及判决书，案件不同阶段视为同一宗）</w:t>
            </w:r>
          </w:p>
        </w:tc>
        <w:tc>
          <w:tcPr>
            <w:tcW w:w="537" w:type="pct"/>
            <w:tcBorders>
              <w:top w:val="single" w:color="auto" w:sz="4" w:space="0"/>
              <w:left w:val="single" w:color="auto" w:sz="4" w:space="0"/>
              <w:right w:val="single" w:color="auto" w:sz="4" w:space="0"/>
            </w:tcBorders>
            <w:vAlign w:val="center"/>
          </w:tcPr>
          <w:p w14:paraId="2D1E05D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0-10分</w:t>
            </w:r>
          </w:p>
        </w:tc>
      </w:tr>
      <w:tr w14:paraId="71A9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tcBorders>
              <w:left w:val="single" w:color="auto" w:sz="4" w:space="0"/>
              <w:right w:val="single" w:color="auto" w:sz="4" w:space="0"/>
            </w:tcBorders>
            <w:vAlign w:val="center"/>
          </w:tcPr>
          <w:p w14:paraId="292B447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p>
        </w:tc>
        <w:tc>
          <w:tcPr>
            <w:tcW w:w="684" w:type="pct"/>
            <w:tcBorders>
              <w:top w:val="single" w:color="auto" w:sz="4" w:space="0"/>
              <w:left w:val="single" w:color="auto" w:sz="4" w:space="0"/>
              <w:bottom w:val="single" w:color="auto" w:sz="4" w:space="0"/>
              <w:right w:val="single" w:color="auto" w:sz="4" w:space="0"/>
            </w:tcBorders>
            <w:vAlign w:val="center"/>
          </w:tcPr>
          <w:p w14:paraId="5CB4949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历史业绩</w:t>
            </w:r>
          </w:p>
        </w:tc>
        <w:tc>
          <w:tcPr>
            <w:tcW w:w="3038" w:type="pct"/>
            <w:tcBorders>
              <w:top w:val="single" w:color="auto" w:sz="4" w:space="0"/>
              <w:left w:val="single" w:color="auto" w:sz="4" w:space="0"/>
              <w:bottom w:val="single" w:color="auto" w:sz="4" w:space="0"/>
              <w:right w:val="single" w:color="auto" w:sz="4" w:space="0"/>
            </w:tcBorders>
            <w:shd w:val="clear" w:color="auto" w:fill="auto"/>
            <w:vAlign w:val="center"/>
          </w:tcPr>
          <w:p w14:paraId="638100D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2021年1月1日以来，法律顾问团队担任过行政机关、医疗机构法律顾问，每个得2分，本项最高10分。（提供法律顾问合同，同一项目不可重复得分）</w:t>
            </w:r>
          </w:p>
        </w:tc>
        <w:tc>
          <w:tcPr>
            <w:tcW w:w="537" w:type="pct"/>
            <w:tcBorders>
              <w:top w:val="single" w:color="auto" w:sz="4" w:space="0"/>
              <w:left w:val="single" w:color="auto" w:sz="4" w:space="0"/>
              <w:bottom w:val="single" w:color="auto" w:sz="4" w:space="0"/>
              <w:right w:val="single" w:color="auto" w:sz="4" w:space="0"/>
            </w:tcBorders>
            <w:vAlign w:val="center"/>
          </w:tcPr>
          <w:p w14:paraId="09CE43D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0-10分</w:t>
            </w:r>
          </w:p>
        </w:tc>
      </w:tr>
      <w:tr w14:paraId="78F2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39" w:type="pct"/>
            <w:vMerge w:val="restart"/>
            <w:tcBorders>
              <w:left w:val="single" w:color="auto" w:sz="4" w:space="0"/>
              <w:right w:val="single" w:color="auto" w:sz="4" w:space="0"/>
            </w:tcBorders>
            <w:vAlign w:val="center"/>
          </w:tcPr>
          <w:p w14:paraId="28FF68F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价格分</w:t>
            </w:r>
          </w:p>
          <w:p w14:paraId="11839EE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（50分）</w:t>
            </w:r>
          </w:p>
        </w:tc>
        <w:tc>
          <w:tcPr>
            <w:tcW w:w="684" w:type="pct"/>
            <w:tcBorders>
              <w:top w:val="single" w:color="auto" w:sz="4" w:space="0"/>
              <w:left w:val="single" w:color="auto" w:sz="4" w:space="0"/>
              <w:bottom w:val="single" w:color="auto" w:sz="4" w:space="0"/>
              <w:right w:val="single" w:color="auto" w:sz="4" w:space="0"/>
            </w:tcBorders>
            <w:vAlign w:val="center"/>
          </w:tcPr>
          <w:p w14:paraId="5892C7D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商务汇总</w:t>
            </w:r>
          </w:p>
        </w:tc>
        <w:tc>
          <w:tcPr>
            <w:tcW w:w="3576" w:type="pct"/>
            <w:gridSpan w:val="2"/>
            <w:tcBorders>
              <w:top w:val="single" w:color="auto" w:sz="4" w:space="0"/>
              <w:left w:val="single" w:color="auto" w:sz="4" w:space="0"/>
              <w:bottom w:val="single" w:color="auto" w:sz="4" w:space="0"/>
              <w:right w:val="single" w:color="auto" w:sz="4" w:space="0"/>
            </w:tcBorders>
            <w:vAlign w:val="center"/>
          </w:tcPr>
          <w:p w14:paraId="4ACC818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价格分统一采用低价优先法，即满足招标文件要求且投标价格最低的投标报价为评标基准价，其价格分为满分</w:t>
            </w:r>
            <w:r>
              <w:rPr>
                <w:rFonts w:hint="eastAsia" w:ascii="宋体" w:hAnsi="宋体" w:eastAsia="宋体" w:cs="宋体"/>
                <w:color w:val="auto"/>
                <w:sz w:val="21"/>
                <w:szCs w:val="21"/>
                <w:highlight w:val="none"/>
                <w:lang w:eastAsia="zh-CN"/>
              </w:rPr>
              <w:t>。</w:t>
            </w:r>
          </w:p>
          <w:p w14:paraId="30BBA21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u w:val="single"/>
                <w:lang w:val="en-US" w:eastAsia="zh-CN"/>
              </w:rPr>
              <w:t>分值</w:t>
            </w:r>
            <w:r>
              <w:rPr>
                <w:rFonts w:hint="eastAsia" w:ascii="宋体" w:hAnsi="宋体" w:eastAsia="宋体" w:cs="宋体"/>
                <w:color w:val="auto"/>
                <w:sz w:val="21"/>
                <w:szCs w:val="21"/>
                <w:highlight w:val="none"/>
              </w:rPr>
              <w:t>％×100</w:t>
            </w:r>
          </w:p>
        </w:tc>
      </w:tr>
      <w:tr w14:paraId="5C28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tcBorders>
              <w:left w:val="single" w:color="auto" w:sz="4" w:space="0"/>
              <w:right w:val="single" w:color="auto" w:sz="4" w:space="0"/>
            </w:tcBorders>
            <w:vAlign w:val="center"/>
          </w:tcPr>
          <w:p w14:paraId="5538621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p>
        </w:tc>
        <w:tc>
          <w:tcPr>
            <w:tcW w:w="684" w:type="pct"/>
            <w:tcBorders>
              <w:top w:val="single" w:color="auto" w:sz="4" w:space="0"/>
              <w:left w:val="single" w:color="auto" w:sz="4" w:space="0"/>
              <w:bottom w:val="single" w:color="auto" w:sz="4" w:space="0"/>
              <w:right w:val="single" w:color="auto" w:sz="4" w:space="0"/>
            </w:tcBorders>
            <w:vAlign w:val="center"/>
          </w:tcPr>
          <w:p w14:paraId="1E51DF81">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商务分项1（20分）</w:t>
            </w:r>
          </w:p>
        </w:tc>
        <w:tc>
          <w:tcPr>
            <w:tcW w:w="3576" w:type="pct"/>
            <w:gridSpan w:val="2"/>
            <w:tcBorders>
              <w:top w:val="single" w:color="auto" w:sz="4" w:space="0"/>
              <w:left w:val="single" w:color="auto" w:sz="4" w:space="0"/>
              <w:bottom w:val="single" w:color="auto" w:sz="4" w:space="0"/>
              <w:right w:val="single" w:color="auto" w:sz="4" w:space="0"/>
            </w:tcBorders>
            <w:vAlign w:val="center"/>
          </w:tcPr>
          <w:p w14:paraId="744C4DD5">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基础服务费（最高限价5万元），</w:t>
            </w: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rPr>
              <w:t>％×100</w:t>
            </w:r>
          </w:p>
        </w:tc>
      </w:tr>
      <w:tr w14:paraId="264C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tcBorders>
              <w:left w:val="single" w:color="auto" w:sz="4" w:space="0"/>
              <w:right w:val="single" w:color="auto" w:sz="4" w:space="0"/>
            </w:tcBorders>
            <w:vAlign w:val="center"/>
          </w:tcPr>
          <w:p w14:paraId="3FE1E37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p>
        </w:tc>
        <w:tc>
          <w:tcPr>
            <w:tcW w:w="684" w:type="pct"/>
            <w:tcBorders>
              <w:top w:val="single" w:color="auto" w:sz="4" w:space="0"/>
              <w:left w:val="single" w:color="auto" w:sz="4" w:space="0"/>
              <w:bottom w:val="single" w:color="auto" w:sz="4" w:space="0"/>
              <w:right w:val="single" w:color="auto" w:sz="4" w:space="0"/>
            </w:tcBorders>
            <w:vAlign w:val="center"/>
          </w:tcPr>
          <w:p w14:paraId="63B0156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商务分项2（15）</w:t>
            </w:r>
          </w:p>
        </w:tc>
        <w:tc>
          <w:tcPr>
            <w:tcW w:w="3576" w:type="pct"/>
            <w:gridSpan w:val="2"/>
            <w:tcBorders>
              <w:top w:val="single" w:color="auto" w:sz="4" w:space="0"/>
              <w:left w:val="single" w:color="auto" w:sz="4" w:space="0"/>
              <w:bottom w:val="single" w:color="auto" w:sz="4" w:space="0"/>
              <w:right w:val="single" w:color="auto" w:sz="4" w:space="0"/>
            </w:tcBorders>
            <w:vAlign w:val="center"/>
          </w:tcPr>
          <w:p w14:paraId="2BD4675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bookmarkStart w:id="43" w:name="OLE_LINK12"/>
            <w:r>
              <w:rPr>
                <w:rFonts w:hint="eastAsia" w:ascii="宋体" w:hAnsi="宋体" w:eastAsia="宋体" w:cs="宋体"/>
                <w:color w:val="auto"/>
                <w:sz w:val="21"/>
                <w:szCs w:val="21"/>
                <w:highlight w:val="none"/>
                <w:lang w:val="en-US" w:eastAsia="zh-CN"/>
              </w:rPr>
              <w:t>医疗损害责任纠纷案件</w:t>
            </w:r>
            <w:bookmarkEnd w:id="43"/>
            <w:r>
              <w:rPr>
                <w:rFonts w:hint="eastAsia" w:ascii="宋体" w:hAnsi="宋体" w:eastAsia="宋体" w:cs="宋体"/>
                <w:color w:val="auto"/>
                <w:sz w:val="21"/>
                <w:szCs w:val="21"/>
                <w:highlight w:val="none"/>
                <w:lang w:val="en-US" w:eastAsia="zh-CN"/>
              </w:rPr>
              <w:t>诉讼代理费：（1）一、二审阶段合计诉讼代理费（最高限价8000元），</w:t>
            </w: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（2）再审阶段折扣率（%，再审阶段诉讼代理费=一、二审阶段合计诉讼代理费*折扣率）：</w:t>
            </w: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eastAsia="zh-CN"/>
              </w:rPr>
              <w:t>；</w:t>
            </w:r>
          </w:p>
        </w:tc>
      </w:tr>
      <w:tr w14:paraId="2637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tcBorders>
              <w:left w:val="single" w:color="auto" w:sz="4" w:space="0"/>
              <w:right w:val="single" w:color="auto" w:sz="4" w:space="0"/>
            </w:tcBorders>
            <w:vAlign w:val="center"/>
          </w:tcPr>
          <w:p w14:paraId="1A83B82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p>
        </w:tc>
        <w:tc>
          <w:tcPr>
            <w:tcW w:w="684" w:type="pct"/>
            <w:tcBorders>
              <w:top w:val="single" w:color="auto" w:sz="4" w:space="0"/>
              <w:left w:val="single" w:color="auto" w:sz="4" w:space="0"/>
              <w:bottom w:val="single" w:color="auto" w:sz="4" w:space="0"/>
              <w:right w:val="single" w:color="auto" w:sz="4" w:space="0"/>
            </w:tcBorders>
            <w:vAlign w:val="center"/>
          </w:tcPr>
          <w:p w14:paraId="5D9FBFA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商务分项3（15分）</w:t>
            </w:r>
          </w:p>
        </w:tc>
        <w:tc>
          <w:tcPr>
            <w:tcW w:w="3576" w:type="pct"/>
            <w:gridSpan w:val="2"/>
            <w:tcBorders>
              <w:top w:val="single" w:color="auto" w:sz="4" w:space="0"/>
              <w:left w:val="single" w:color="auto" w:sz="4" w:space="0"/>
              <w:bottom w:val="single" w:color="auto" w:sz="4" w:space="0"/>
              <w:right w:val="single" w:color="auto" w:sz="4" w:space="0"/>
            </w:tcBorders>
            <w:vAlign w:val="center"/>
          </w:tcPr>
          <w:p w14:paraId="41232276">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医疗损害责任纠纷，之外民事案件诉讼代理费：（1）基础代理费（最高限价5000元），</w:t>
            </w: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u w:val="single"/>
                <w:lang w:val="en-US" w:eastAsia="zh-CN"/>
              </w:rPr>
              <w:t>7.5</w:t>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折扣率：</w:t>
            </w: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u w:val="single"/>
                <w:lang w:val="en-US" w:eastAsia="zh-CN"/>
              </w:rPr>
              <w:t>7.5</w:t>
            </w:r>
            <w:r>
              <w:rPr>
                <w:rFonts w:hint="eastAsia" w:ascii="宋体" w:hAnsi="宋体" w:eastAsia="宋体" w:cs="宋体"/>
                <w:color w:val="auto"/>
                <w:sz w:val="21"/>
                <w:szCs w:val="21"/>
                <w:highlight w:val="none"/>
              </w:rPr>
              <w:t>％×100</w:t>
            </w:r>
          </w:p>
        </w:tc>
      </w:tr>
    </w:tbl>
    <w:p w14:paraId="17AED667">
      <w:pPr>
        <w:spacing w:line="360" w:lineRule="auto"/>
        <w:rPr>
          <w:rFonts w:hint="eastAsia" w:ascii="宋体" w:hAnsi="宋体" w:eastAsia="宋体" w:cs="宋体"/>
          <w:b/>
          <w:bCs/>
          <w:color w:val="0000FF"/>
          <w:sz w:val="21"/>
          <w:szCs w:val="21"/>
          <w:highlight w:val="none"/>
          <w:lang w:val="en-US" w:eastAsia="zh-CN"/>
        </w:rPr>
      </w:pPr>
      <w:r>
        <w:rPr>
          <w:rFonts w:hint="eastAsia" w:ascii="宋体" w:hAnsi="宋体" w:eastAsia="宋体"/>
          <w:b/>
          <w:bCs/>
          <w:color w:val="0000FF"/>
          <w:sz w:val="24"/>
          <w:highlight w:val="none"/>
          <w:lang w:val="en-US" w:eastAsia="zh-CN"/>
        </w:rPr>
        <w:t>注：1.商务部分总得分=</w:t>
      </w:r>
      <w:r>
        <w:rPr>
          <w:rFonts w:hint="eastAsia" w:ascii="宋体" w:hAnsi="宋体" w:eastAsia="宋体" w:cs="宋体"/>
          <w:b/>
          <w:bCs/>
          <w:color w:val="0000FF"/>
          <w:sz w:val="21"/>
          <w:szCs w:val="21"/>
          <w:highlight w:val="none"/>
          <w:lang w:val="en-US" w:eastAsia="zh-CN"/>
        </w:rPr>
        <w:t>商务分项1得分+商务分项2得分+商务分项3得分；</w:t>
      </w:r>
    </w:p>
    <w:p w14:paraId="2436EC3D">
      <w:pPr>
        <w:spacing w:line="360" w:lineRule="auto"/>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2. 折扣率不得为0，否则按无效标处理。</w:t>
      </w:r>
    </w:p>
    <w:p w14:paraId="2378DD7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.3.3</w:t>
      </w:r>
      <w:r>
        <w:rPr>
          <w:rFonts w:hint="eastAsia" w:ascii="宋体" w:hAnsi="宋体" w:eastAsia="宋体"/>
          <w:color w:val="auto"/>
          <w:sz w:val="24"/>
          <w:highlight w:val="none"/>
        </w:rPr>
        <w:t>分值汇总</w:t>
      </w:r>
    </w:p>
    <w:p w14:paraId="42D2D67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评标委员会各成员应当独立对每个</w:t>
      </w:r>
      <w:r>
        <w:rPr>
          <w:rFonts w:hint="eastAsia" w:ascii="宋体" w:hAnsi="宋体" w:eastAsia="宋体"/>
          <w:color w:val="auto"/>
          <w:sz w:val="24"/>
          <w:highlight w:val="none"/>
        </w:rPr>
        <w:t>有效</w:t>
      </w:r>
      <w:r>
        <w:rPr>
          <w:rFonts w:ascii="宋体" w:hAnsi="宋体" w:eastAsia="宋体"/>
          <w:color w:val="auto"/>
          <w:sz w:val="24"/>
          <w:highlight w:val="none"/>
        </w:rPr>
        <w:t>投标人的投标文件进行评</w:t>
      </w:r>
      <w:r>
        <w:rPr>
          <w:rFonts w:hint="eastAsia" w:ascii="宋体" w:hAnsi="宋体" w:eastAsia="宋体"/>
          <w:color w:val="auto"/>
          <w:sz w:val="24"/>
          <w:highlight w:val="none"/>
        </w:rPr>
        <w:t>分</w:t>
      </w:r>
      <w:r>
        <w:rPr>
          <w:rFonts w:ascii="宋体" w:hAnsi="宋体" w:eastAsia="宋体"/>
          <w:color w:val="auto"/>
          <w:sz w:val="24"/>
          <w:highlight w:val="none"/>
        </w:rPr>
        <w:t>，并汇总每个投</w:t>
      </w:r>
      <w:r>
        <w:rPr>
          <w:rFonts w:hint="eastAsia" w:ascii="宋体" w:hAnsi="宋体" w:eastAsia="宋体"/>
          <w:color w:val="auto"/>
          <w:sz w:val="24"/>
          <w:highlight w:val="none"/>
        </w:rPr>
        <w:t>标人的得分。取各位评委评分之平均值，四舍五入保留至小数点后两位数，</w:t>
      </w:r>
      <w:r>
        <w:rPr>
          <w:rFonts w:ascii="宋体" w:hAnsi="宋体" w:eastAsia="宋体"/>
          <w:color w:val="auto"/>
          <w:sz w:val="24"/>
          <w:highlight w:val="none"/>
        </w:rPr>
        <w:t>得到该投标</w:t>
      </w:r>
      <w:r>
        <w:rPr>
          <w:rFonts w:hint="eastAsia" w:ascii="宋体" w:hAnsi="宋体" w:eastAsia="宋体"/>
          <w:color w:val="auto"/>
          <w:sz w:val="24"/>
          <w:highlight w:val="none"/>
        </w:rPr>
        <w:t>人</w:t>
      </w:r>
      <w:r>
        <w:rPr>
          <w:rFonts w:ascii="宋体" w:hAnsi="宋体" w:eastAsia="宋体"/>
          <w:color w:val="auto"/>
          <w:sz w:val="24"/>
          <w:highlight w:val="none"/>
        </w:rPr>
        <w:t>的技术资信分</w:t>
      </w:r>
      <w:r>
        <w:rPr>
          <w:rFonts w:hint="eastAsia" w:ascii="宋体" w:hAnsi="宋体" w:eastAsia="宋体"/>
          <w:color w:val="auto"/>
          <w:sz w:val="24"/>
          <w:highlight w:val="none"/>
        </w:rPr>
        <w:t>。</w:t>
      </w:r>
    </w:p>
    <w:p w14:paraId="6BCE54EC">
      <w:pPr>
        <w:widowControl/>
        <w:jc w:val="left"/>
        <w:rPr>
          <w:rFonts w:asciiTheme="minorEastAsia" w:hAnsiTheme="minorEastAsia" w:eastAsiaTheme="minorEastAsia"/>
          <w:bCs/>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将投标</w:t>
      </w:r>
      <w:r>
        <w:rPr>
          <w:rFonts w:hint="eastAsia" w:ascii="宋体" w:hAnsi="宋体" w:eastAsia="宋体"/>
          <w:color w:val="auto"/>
          <w:sz w:val="24"/>
          <w:highlight w:val="none"/>
        </w:rPr>
        <w:t>人</w:t>
      </w:r>
      <w:r>
        <w:rPr>
          <w:rFonts w:ascii="宋体" w:hAnsi="宋体" w:eastAsia="宋体"/>
          <w:color w:val="auto"/>
          <w:sz w:val="24"/>
          <w:highlight w:val="none"/>
        </w:rPr>
        <w:t>的技术资信分加上根据上述标准计算出的价格分，即为该投标</w:t>
      </w:r>
      <w:r>
        <w:rPr>
          <w:rFonts w:hint="eastAsia" w:ascii="宋体" w:hAnsi="宋体" w:eastAsia="宋体"/>
          <w:color w:val="auto"/>
          <w:sz w:val="24"/>
          <w:highlight w:val="none"/>
        </w:rPr>
        <w:t>人</w:t>
      </w:r>
      <w:r>
        <w:rPr>
          <w:rFonts w:ascii="宋体" w:hAnsi="宋体" w:eastAsia="宋体"/>
          <w:color w:val="auto"/>
          <w:sz w:val="24"/>
          <w:highlight w:val="none"/>
        </w:rPr>
        <w:t>的综合总得分。</w:t>
      </w:r>
      <w:r>
        <w:rPr>
          <w:rFonts w:asciiTheme="minorEastAsia" w:hAnsiTheme="minorEastAsia" w:eastAsiaTheme="minorEastAsia"/>
          <w:bCs/>
          <w:color w:val="auto"/>
          <w:sz w:val="24"/>
          <w:highlight w:val="none"/>
        </w:rPr>
        <w:br w:type="page"/>
      </w:r>
    </w:p>
    <w:p w14:paraId="02EF3DF1">
      <w:pPr>
        <w:spacing w:line="360" w:lineRule="auto"/>
        <w:jc w:val="center"/>
        <w:outlineLvl w:val="0"/>
        <w:rPr>
          <w:rFonts w:asciiTheme="minorEastAsia" w:hAnsiTheme="minorEastAsia" w:eastAsiaTheme="minorEastAsia"/>
          <w:color w:val="auto"/>
          <w:sz w:val="24"/>
          <w:highlight w:val="none"/>
        </w:rPr>
      </w:pPr>
    </w:p>
    <w:p w14:paraId="5A3A8863">
      <w:pPr>
        <w:spacing w:line="360" w:lineRule="auto"/>
        <w:jc w:val="center"/>
        <w:outlineLvl w:val="0"/>
        <w:rPr>
          <w:rFonts w:hint="eastAsia" w:ascii="宋体" w:hAnsi="宋体" w:eastAsia="宋体"/>
          <w:b/>
          <w:color w:val="auto"/>
          <w:sz w:val="28"/>
          <w:highlight w:val="none"/>
          <w:lang w:eastAsia="zh-CN"/>
        </w:rPr>
      </w:pPr>
      <w:r>
        <w:rPr>
          <w:rFonts w:hint="eastAsia" w:ascii="宋体" w:hAnsi="宋体" w:eastAsia="宋体"/>
          <w:b/>
          <w:color w:val="auto"/>
          <w:sz w:val="28"/>
          <w:highlight w:val="none"/>
        </w:rPr>
        <w:t xml:space="preserve">第五章  </w:t>
      </w:r>
      <w:r>
        <w:rPr>
          <w:rFonts w:ascii="宋体" w:hAnsi="宋体" w:eastAsia="宋体"/>
          <w:b/>
          <w:color w:val="auto"/>
          <w:sz w:val="28"/>
          <w:highlight w:val="none"/>
        </w:rPr>
        <w:t>政府采购合同</w:t>
      </w:r>
      <w:bookmarkEnd w:id="36"/>
    </w:p>
    <w:p w14:paraId="2E9CE7C4">
      <w:pPr>
        <w:pStyle w:val="8"/>
        <w:pageBreakBefore w:val="0"/>
        <w:kinsoku/>
        <w:wordWrap/>
        <w:overflowPunct/>
        <w:topLinePunct w:val="0"/>
        <w:bidi w:val="0"/>
        <w:spacing w:after="0" w:line="360" w:lineRule="auto"/>
        <w:jc w:val="both"/>
        <w:textAlignment w:val="auto"/>
        <w:rPr>
          <w:rFonts w:hint="eastAsia" w:ascii="宋体" w:hAnsi="宋体" w:eastAsia="宋体" w:cs="宋体"/>
          <w:b/>
          <w:bCs/>
          <w:spacing w:val="-20"/>
          <w:kern w:val="44"/>
          <w:sz w:val="24"/>
          <w:szCs w:val="24"/>
          <w:highlight w:val="none"/>
        </w:rPr>
      </w:pPr>
    </w:p>
    <w:p w14:paraId="13190B5A">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36BB4363">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6C3EA4A1">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0B036B6A">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16AFEF5F">
      <w:pPr>
        <w:pStyle w:val="8"/>
        <w:rPr>
          <w:rFonts w:hint="eastAsia" w:ascii="宋体" w:hAnsi="宋体" w:eastAsia="宋体" w:cs="宋体"/>
          <w:b/>
          <w:bCs/>
          <w:spacing w:val="-20"/>
          <w:kern w:val="44"/>
          <w:sz w:val="24"/>
          <w:szCs w:val="24"/>
          <w:highlight w:val="none"/>
        </w:rPr>
      </w:pPr>
    </w:p>
    <w:p w14:paraId="1017F30A">
      <w:pPr>
        <w:pStyle w:val="8"/>
        <w:rPr>
          <w:rFonts w:hint="eastAsia" w:ascii="宋体" w:hAnsi="宋体" w:eastAsia="宋体" w:cs="宋体"/>
          <w:b/>
          <w:bCs/>
          <w:spacing w:val="-20"/>
          <w:kern w:val="44"/>
          <w:sz w:val="24"/>
          <w:szCs w:val="24"/>
          <w:highlight w:val="none"/>
        </w:rPr>
      </w:pPr>
    </w:p>
    <w:p w14:paraId="600CB460">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539898C4">
      <w:pPr>
        <w:pStyle w:val="8"/>
        <w:pageBreakBefore w:val="0"/>
        <w:kinsoku/>
        <w:wordWrap/>
        <w:overflowPunct/>
        <w:topLinePunct w:val="0"/>
        <w:bidi w:val="0"/>
        <w:spacing w:line="360" w:lineRule="auto"/>
        <w:textAlignment w:val="auto"/>
        <w:rPr>
          <w:rFonts w:hint="eastAsia"/>
          <w:highlight w:val="none"/>
        </w:rPr>
      </w:pPr>
    </w:p>
    <w:p w14:paraId="2CF1886F">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6C34BC5D">
      <w:pPr>
        <w:pageBreakBefore w:val="0"/>
        <w:kinsoku/>
        <w:wordWrap/>
        <w:overflowPunct/>
        <w:topLinePunct w:val="0"/>
        <w:bidi w:val="0"/>
        <w:spacing w:line="360" w:lineRule="auto"/>
        <w:ind w:left="420" w:leftChars="200"/>
        <w:textAlignment w:val="auto"/>
        <w:rPr>
          <w:rFonts w:hint="eastAsia" w:ascii="宋体" w:hAnsi="宋体" w:eastAsia="宋体" w:cs="Times New Roman"/>
          <w:i/>
          <w:iCs/>
          <w:color w:val="000000"/>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sz w:val="24"/>
          <w:szCs w:val="24"/>
          <w:highlight w:val="none"/>
          <w:u w:val="single"/>
        </w:rPr>
        <w:t xml:space="preserve">                             </w:t>
      </w:r>
    </w:p>
    <w:p w14:paraId="2B1FE3DC">
      <w:pPr>
        <w:pageBreakBefore w:val="0"/>
        <w:kinsoku/>
        <w:wordWrap/>
        <w:overflowPunct/>
        <w:topLinePunct w:val="0"/>
        <w:bidi w:val="0"/>
        <w:spacing w:line="360" w:lineRule="auto"/>
        <w:ind w:left="420" w:leftChars="200"/>
        <w:textAlignment w:val="auto"/>
        <w:rPr>
          <w:rFonts w:hint="eastAsia"/>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14:paraId="3F9E28C9">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24C3A50D">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Times New Roman"/>
          <w:color w:val="000000"/>
          <w:sz w:val="24"/>
          <w:szCs w:val="24"/>
          <w:highlight w:val="none"/>
        </w:rPr>
        <w:t>甲方（采购人）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滁州市第一人民医院</w:t>
      </w:r>
    </w:p>
    <w:p w14:paraId="6B4A075E">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Times New Roman"/>
          <w:color w:val="000000"/>
          <w:sz w:val="24"/>
          <w:szCs w:val="24"/>
          <w:highlight w:val="none"/>
        </w:rPr>
        <w:t>乙方（中标人）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0BB2E20A">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p>
    <w:p w14:paraId="171459AE">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p>
    <w:p w14:paraId="20AB5705">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3C003C21">
      <w:pPr>
        <w:pageBreakBefore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F14215A">
      <w:pPr>
        <w:spacing w:after="0" w:line="640" w:lineRule="exact"/>
        <w:jc w:val="center"/>
        <w:rPr>
          <w:rFonts w:hint="eastAsia" w:ascii="仿宋" w:hAnsi="仿宋" w:eastAsia="仿宋" w:cs="Times New Roman"/>
          <w:b/>
          <w:bCs/>
          <w:sz w:val="32"/>
          <w:szCs w:val="32"/>
          <w:highlight w:val="none"/>
        </w:rPr>
      </w:pPr>
      <w:bookmarkStart w:id="44" w:name="_Toc20313"/>
      <w:r>
        <w:rPr>
          <w:rFonts w:ascii="黑体" w:hAnsi="黑体" w:eastAsia="黑体" w:cs="Times New Roman"/>
          <w:sz w:val="44"/>
          <w:szCs w:val="44"/>
          <w:highlight w:val="none"/>
        </w:rPr>
        <w:t>法律顾问服务合同</w:t>
      </w:r>
      <w:r>
        <w:rPr>
          <w:rFonts w:hint="eastAsia" w:ascii="MS Mincho" w:hAnsi="MS Mincho" w:eastAsia="MS Mincho" w:cs="MS Mincho"/>
          <w:b/>
          <w:bCs/>
          <w:sz w:val="44"/>
          <w:szCs w:val="44"/>
          <w:highlight w:val="none"/>
        </w:rPr>
        <w:t>​</w:t>
      </w:r>
    </w:p>
    <w:p w14:paraId="4032367B">
      <w:pPr>
        <w:spacing w:after="0" w:line="480" w:lineRule="exact"/>
        <w:ind w:firstLine="640" w:firstLineChars="200"/>
        <w:jc w:val="both"/>
        <w:rPr>
          <w:rFonts w:hint="eastAsia" w:ascii="仿宋" w:hAnsi="仿宋" w:eastAsia="仿宋" w:cs="MS Mincho"/>
          <w:sz w:val="32"/>
          <w:szCs w:val="32"/>
          <w:highlight w:val="none"/>
        </w:rPr>
      </w:pPr>
      <w:r>
        <w:rPr>
          <w:rFonts w:hint="eastAsia" w:ascii="MS Mincho" w:hAnsi="MS Mincho" w:eastAsia="MS Mincho" w:cs="MS Mincho"/>
          <w:sz w:val="32"/>
          <w:szCs w:val="32"/>
          <w:highlight w:val="none"/>
        </w:rPr>
        <w:t>​</w:t>
      </w:r>
    </w:p>
    <w:p w14:paraId="789234FD">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b/>
          <w:bCs/>
          <w:sz w:val="28"/>
          <w:szCs w:val="28"/>
          <w:highlight w:val="none"/>
        </w:rPr>
        <w:t>合同编号：</w:t>
      </w:r>
    </w:p>
    <w:p w14:paraId="24271C6E">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ascii="仿宋" w:hAnsi="仿宋" w:eastAsia="仿宋" w:cs="Times New Roman"/>
          <w:b/>
          <w:bCs/>
          <w:sz w:val="28"/>
          <w:szCs w:val="28"/>
          <w:highlight w:val="none"/>
        </w:rPr>
        <w:t>甲方（聘请方）：</w:t>
      </w:r>
      <w:r>
        <w:rPr>
          <w:rFonts w:hint="eastAsia" w:ascii="MS Mincho" w:hAnsi="MS Mincho" w:eastAsia="MS Mincho" w:cs="MS Mincho"/>
          <w:b/>
          <w:bCs/>
          <w:sz w:val="28"/>
          <w:szCs w:val="28"/>
          <w:highlight w:val="none"/>
        </w:rPr>
        <w:t>​</w:t>
      </w:r>
      <w:r>
        <w:rPr>
          <w:rFonts w:hint="eastAsia" w:ascii="MS Mincho" w:hAnsi="MS Mincho" w:eastAsia="MS Mincho" w:cs="MS Mincho"/>
          <w:sz w:val="28"/>
          <w:szCs w:val="28"/>
          <w:highlight w:val="none"/>
        </w:rPr>
        <w:t>​</w:t>
      </w:r>
      <w:r>
        <w:rPr>
          <w:rFonts w:ascii="仿宋" w:hAnsi="仿宋" w:eastAsia="仿宋" w:cs="Times New Roman"/>
          <w:sz w:val="28"/>
          <w:szCs w:val="28"/>
          <w:highlight w:val="none"/>
        </w:rPr>
        <w:t>滁州市第一人民医院</w:t>
      </w:r>
    </w:p>
    <w:p w14:paraId="782C681C">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ascii="仿宋" w:hAnsi="仿宋" w:eastAsia="仿宋" w:cs="Times New Roman"/>
          <w:b/>
          <w:bCs/>
          <w:sz w:val="28"/>
          <w:szCs w:val="28"/>
          <w:highlight w:val="none"/>
        </w:rPr>
        <w:t>乙方（应聘方）：</w:t>
      </w:r>
      <w:r>
        <w:rPr>
          <w:rFonts w:ascii="仿宋" w:hAnsi="仿宋" w:eastAsia="仿宋" w:cs="Times New Roman"/>
          <w:sz w:val="28"/>
          <w:szCs w:val="28"/>
          <w:highlight w:val="none"/>
        </w:rPr>
        <w:t>__________________</w:t>
      </w:r>
    </w:p>
    <w:p w14:paraId="12504154">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ascii="仿宋" w:hAnsi="仿宋" w:eastAsia="仿宋" w:cs="Times New Roman"/>
          <w:b/>
          <w:bCs/>
          <w:sz w:val="28"/>
          <w:szCs w:val="28"/>
          <w:highlight w:val="none"/>
        </w:rPr>
        <w:t>签约日期：</w:t>
      </w:r>
      <w:r>
        <w:rPr>
          <w:rFonts w:ascii="仿宋" w:hAnsi="仿宋" w:eastAsia="仿宋" w:cs="Times New Roman"/>
          <w:sz w:val="28"/>
          <w:szCs w:val="28"/>
          <w:highlight w:val="none"/>
        </w:rPr>
        <w:t xml:space="preserve"> ______年______月______日</w:t>
      </w:r>
    </w:p>
    <w:p w14:paraId="2BE6FFDE">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p>
    <w:p w14:paraId="57F2C502">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第一条 服务内容与范围</w:t>
      </w:r>
      <w:r>
        <w:rPr>
          <w:rFonts w:hint="eastAsia" w:ascii="MS Mincho" w:hAnsi="MS Mincho" w:eastAsia="MS Mincho" w:cs="MS Mincho"/>
          <w:b/>
          <w:bCs/>
          <w:sz w:val="28"/>
          <w:szCs w:val="28"/>
          <w:highlight w:val="none"/>
        </w:rPr>
        <w:t>​</w:t>
      </w:r>
    </w:p>
    <w:p w14:paraId="177CC402">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乙方为甲方提供常年法律顾问服务，具体包括：</w:t>
      </w:r>
    </w:p>
    <w:p w14:paraId="287831E2">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MS Mincho"/>
          <w:sz w:val="28"/>
          <w:szCs w:val="28"/>
          <w:highlight w:val="none"/>
        </w:rPr>
        <w:t>一、</w:t>
      </w:r>
      <w:r>
        <w:rPr>
          <w:rFonts w:ascii="仿宋" w:hAnsi="仿宋" w:eastAsia="仿宋" w:cs="Times New Roman"/>
          <w:b/>
          <w:bCs/>
          <w:sz w:val="28"/>
          <w:szCs w:val="28"/>
          <w:highlight w:val="none"/>
        </w:rPr>
        <w:t>日常法律事务</w:t>
      </w:r>
      <w:r>
        <w:rPr>
          <w:rFonts w:hint="eastAsia" w:ascii="MS Mincho" w:hAnsi="MS Mincho" w:eastAsia="MS Mincho" w:cs="MS Mincho"/>
          <w:sz w:val="28"/>
          <w:szCs w:val="28"/>
          <w:highlight w:val="none"/>
        </w:rPr>
        <w:t>​</w:t>
      </w:r>
    </w:p>
    <w:p w14:paraId="261E6493">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w:t>
      </w:r>
      <w:r>
        <w:rPr>
          <w:rFonts w:ascii="仿宋" w:hAnsi="仿宋" w:eastAsia="仿宋" w:cs="Times New Roman"/>
          <w:sz w:val="28"/>
          <w:szCs w:val="28"/>
          <w:highlight w:val="none"/>
        </w:rPr>
        <w:t>法律咨询（口头/书面/列席会议）：</w:t>
      </w:r>
      <w:r>
        <w:rPr>
          <w:rFonts w:hint="eastAsia" w:ascii="仿宋" w:hAnsi="仿宋" w:eastAsia="仿宋" w:cs="Times New Roman"/>
          <w:sz w:val="28"/>
          <w:szCs w:val="28"/>
          <w:highlight w:val="none"/>
        </w:rPr>
        <w:t>即时解答，</w:t>
      </w:r>
      <w:r>
        <w:rPr>
          <w:rFonts w:ascii="仿宋" w:hAnsi="仿宋" w:eastAsia="仿宋" w:cs="Times New Roman"/>
          <w:sz w:val="28"/>
          <w:szCs w:val="28"/>
          <w:highlight w:val="none"/>
        </w:rPr>
        <w:t>一般问题≤24小时回复，重大复杂问题≤3个工作日</w:t>
      </w:r>
      <w:r>
        <w:rPr>
          <w:rFonts w:hint="eastAsia" w:ascii="仿宋" w:hAnsi="仿宋" w:eastAsia="仿宋" w:cs="Times New Roman"/>
          <w:sz w:val="28"/>
          <w:szCs w:val="28"/>
          <w:highlight w:val="none"/>
        </w:rPr>
        <w:t>并</w:t>
      </w:r>
      <w:r>
        <w:rPr>
          <w:rFonts w:ascii="仿宋" w:hAnsi="仿宋" w:eastAsia="仿宋" w:cs="Times New Roman"/>
          <w:sz w:val="28"/>
          <w:szCs w:val="28"/>
          <w:highlight w:val="none"/>
        </w:rPr>
        <w:t>出具</w:t>
      </w:r>
      <w:r>
        <w:rPr>
          <w:rFonts w:hint="eastAsia" w:ascii="仿宋" w:hAnsi="仿宋" w:eastAsia="仿宋" w:cs="Times New Roman"/>
          <w:sz w:val="28"/>
          <w:szCs w:val="28"/>
          <w:highlight w:val="none"/>
        </w:rPr>
        <w:t>法律</w:t>
      </w:r>
      <w:r>
        <w:rPr>
          <w:rFonts w:ascii="仿宋" w:hAnsi="仿宋" w:eastAsia="仿宋" w:cs="Times New Roman"/>
          <w:sz w:val="28"/>
          <w:szCs w:val="28"/>
          <w:highlight w:val="none"/>
        </w:rPr>
        <w:t>意见书</w:t>
      </w:r>
      <w:r>
        <w:rPr>
          <w:rFonts w:hint="eastAsia" w:ascii="仿宋" w:hAnsi="仿宋" w:eastAsia="仿宋" w:cs="Times New Roman"/>
          <w:sz w:val="28"/>
          <w:szCs w:val="28"/>
          <w:highlight w:val="none"/>
        </w:rPr>
        <w:t>或律师函。</w:t>
      </w:r>
    </w:p>
    <w:p w14:paraId="77051B17">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2.</w:t>
      </w:r>
      <w:r>
        <w:rPr>
          <w:rFonts w:ascii="仿宋" w:hAnsi="仿宋" w:eastAsia="仿宋" w:cs="Times New Roman"/>
          <w:sz w:val="28"/>
          <w:szCs w:val="28"/>
          <w:highlight w:val="none"/>
        </w:rPr>
        <w:t>合同</w:t>
      </w:r>
      <w:r>
        <w:rPr>
          <w:rFonts w:hint="eastAsia" w:ascii="仿宋" w:hAnsi="仿宋" w:eastAsia="仿宋" w:cs="Times New Roman"/>
          <w:sz w:val="28"/>
          <w:szCs w:val="28"/>
          <w:highlight w:val="none"/>
        </w:rPr>
        <w:t>、建议书、承诺函、通知书等</w:t>
      </w:r>
      <w:r>
        <w:rPr>
          <w:rFonts w:ascii="仿宋" w:hAnsi="仿宋" w:eastAsia="仿宋" w:cs="Times New Roman"/>
          <w:sz w:val="28"/>
          <w:szCs w:val="28"/>
          <w:highlight w:val="none"/>
        </w:rPr>
        <w:t>法律文件</w:t>
      </w:r>
      <w:r>
        <w:rPr>
          <w:rFonts w:hint="eastAsia" w:ascii="仿宋" w:hAnsi="仿宋" w:eastAsia="仿宋" w:cs="Times New Roman"/>
          <w:sz w:val="28"/>
          <w:szCs w:val="28"/>
          <w:highlight w:val="none"/>
        </w:rPr>
        <w:t>起草、</w:t>
      </w:r>
      <w:r>
        <w:rPr>
          <w:rFonts w:ascii="仿宋" w:hAnsi="仿宋" w:eastAsia="仿宋" w:cs="Times New Roman"/>
          <w:sz w:val="28"/>
          <w:szCs w:val="28"/>
          <w:highlight w:val="none"/>
        </w:rPr>
        <w:t>审查：常规文件≤2</w:t>
      </w:r>
      <w:r>
        <w:rPr>
          <w:rFonts w:hint="eastAsia" w:ascii="仿宋" w:hAnsi="仿宋" w:eastAsia="仿宋" w:cs="Times New Roman"/>
          <w:sz w:val="28"/>
          <w:szCs w:val="28"/>
          <w:highlight w:val="none"/>
        </w:rPr>
        <w:t>工作</w:t>
      </w:r>
      <w:r>
        <w:rPr>
          <w:rFonts w:ascii="仿宋" w:hAnsi="仿宋" w:eastAsia="仿宋" w:cs="Times New Roman"/>
          <w:sz w:val="28"/>
          <w:szCs w:val="28"/>
          <w:highlight w:val="none"/>
        </w:rPr>
        <w:t>日出具</w:t>
      </w:r>
      <w:r>
        <w:rPr>
          <w:rFonts w:hint="eastAsia" w:ascii="仿宋" w:hAnsi="仿宋" w:eastAsia="仿宋" w:cs="Times New Roman"/>
          <w:sz w:val="28"/>
          <w:szCs w:val="28"/>
          <w:highlight w:val="none"/>
        </w:rPr>
        <w:t>法律</w:t>
      </w:r>
      <w:r>
        <w:rPr>
          <w:rFonts w:ascii="仿宋" w:hAnsi="仿宋" w:eastAsia="仿宋" w:cs="Times New Roman"/>
          <w:sz w:val="28"/>
          <w:szCs w:val="28"/>
          <w:highlight w:val="none"/>
        </w:rPr>
        <w:t>意见，急件当日完成</w:t>
      </w:r>
      <w:r>
        <w:rPr>
          <w:rFonts w:hint="eastAsia" w:ascii="仿宋" w:hAnsi="仿宋" w:eastAsia="仿宋" w:cs="Times New Roman"/>
          <w:sz w:val="28"/>
          <w:szCs w:val="28"/>
          <w:highlight w:val="none"/>
        </w:rPr>
        <w:t>。</w:t>
      </w:r>
    </w:p>
    <w:p w14:paraId="19ED2A55">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3.</w:t>
      </w:r>
      <w:r>
        <w:rPr>
          <w:rFonts w:ascii="仿宋" w:hAnsi="仿宋" w:eastAsia="仿宋" w:cs="Times New Roman"/>
          <w:sz w:val="28"/>
          <w:szCs w:val="28"/>
          <w:highlight w:val="none"/>
        </w:rPr>
        <w:t>内部制度合规建设：协助完善医疗、药品、器械、</w:t>
      </w:r>
      <w:r>
        <w:rPr>
          <w:rFonts w:hint="eastAsia" w:ascii="仿宋" w:hAnsi="仿宋" w:eastAsia="仿宋" w:cs="Times New Roman"/>
          <w:sz w:val="28"/>
          <w:szCs w:val="28"/>
          <w:highlight w:val="none"/>
        </w:rPr>
        <w:t>收费</w:t>
      </w:r>
      <w:r>
        <w:rPr>
          <w:rFonts w:ascii="仿宋" w:hAnsi="仿宋" w:eastAsia="仿宋" w:cs="Times New Roman"/>
          <w:sz w:val="28"/>
          <w:szCs w:val="28"/>
          <w:highlight w:val="none"/>
        </w:rPr>
        <w:t>等合规体系</w:t>
      </w:r>
      <w:r>
        <w:rPr>
          <w:rFonts w:hint="eastAsia" w:ascii="仿宋" w:hAnsi="仿宋" w:eastAsia="仿宋" w:cs="Times New Roman"/>
          <w:sz w:val="28"/>
          <w:szCs w:val="28"/>
          <w:highlight w:val="none"/>
        </w:rPr>
        <w:t>。</w:t>
      </w:r>
    </w:p>
    <w:p w14:paraId="0C176A69">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4.</w:t>
      </w:r>
      <w:r>
        <w:rPr>
          <w:rFonts w:ascii="仿宋" w:hAnsi="仿宋" w:eastAsia="仿宋" w:cs="Times New Roman"/>
          <w:sz w:val="28"/>
          <w:szCs w:val="28"/>
          <w:highlight w:val="none"/>
        </w:rPr>
        <w:t>参与重大谈判（含医疗纠纷、对外合作）及</w:t>
      </w:r>
      <w:r>
        <w:rPr>
          <w:rFonts w:hint="eastAsia" w:ascii="仿宋" w:hAnsi="仿宋" w:eastAsia="仿宋" w:cs="Times New Roman"/>
          <w:sz w:val="28"/>
          <w:szCs w:val="28"/>
          <w:highlight w:val="none"/>
        </w:rPr>
        <w:t>协助</w:t>
      </w:r>
      <w:r>
        <w:rPr>
          <w:rFonts w:ascii="仿宋" w:hAnsi="仿宋" w:eastAsia="仿宋" w:cs="Times New Roman"/>
          <w:sz w:val="28"/>
          <w:szCs w:val="28"/>
          <w:highlight w:val="none"/>
        </w:rPr>
        <w:t>处理信访</w:t>
      </w:r>
      <w:r>
        <w:rPr>
          <w:rFonts w:hint="eastAsia" w:ascii="仿宋" w:hAnsi="仿宋" w:eastAsia="仿宋" w:cs="Times New Roman"/>
          <w:sz w:val="28"/>
          <w:szCs w:val="28"/>
          <w:highlight w:val="none"/>
        </w:rPr>
        <w:t>案件等各项非讼法律事宜并</w:t>
      </w:r>
      <w:r>
        <w:rPr>
          <w:rFonts w:ascii="仿宋" w:hAnsi="仿宋" w:eastAsia="仿宋" w:cs="Times New Roman"/>
          <w:sz w:val="28"/>
          <w:szCs w:val="28"/>
          <w:highlight w:val="none"/>
        </w:rPr>
        <w:t>出具</w:t>
      </w:r>
      <w:r>
        <w:rPr>
          <w:rFonts w:hint="eastAsia" w:ascii="仿宋" w:hAnsi="仿宋" w:eastAsia="仿宋" w:cs="Times New Roman"/>
          <w:sz w:val="28"/>
          <w:szCs w:val="28"/>
          <w:highlight w:val="none"/>
        </w:rPr>
        <w:t>法律</w:t>
      </w:r>
      <w:r>
        <w:rPr>
          <w:rFonts w:ascii="仿宋" w:hAnsi="仿宋" w:eastAsia="仿宋" w:cs="Times New Roman"/>
          <w:sz w:val="28"/>
          <w:szCs w:val="28"/>
          <w:highlight w:val="none"/>
        </w:rPr>
        <w:t>意见</w:t>
      </w:r>
      <w:r>
        <w:rPr>
          <w:rFonts w:hint="eastAsia" w:ascii="仿宋" w:hAnsi="仿宋" w:eastAsia="仿宋" w:cs="Times New Roman"/>
          <w:sz w:val="28"/>
          <w:szCs w:val="28"/>
          <w:highlight w:val="none"/>
        </w:rPr>
        <w:t>；遇</w:t>
      </w:r>
      <w:r>
        <w:rPr>
          <w:rFonts w:ascii="仿宋" w:hAnsi="仿宋" w:eastAsia="仿宋" w:cs="Times New Roman"/>
          <w:sz w:val="28"/>
          <w:szCs w:val="28"/>
          <w:highlight w:val="none"/>
        </w:rPr>
        <w:t>突发性事件</w:t>
      </w:r>
      <w:r>
        <w:rPr>
          <w:rFonts w:hint="eastAsia" w:ascii="仿宋" w:hAnsi="仿宋" w:eastAsia="仿宋" w:cs="Times New Roman"/>
          <w:sz w:val="28"/>
          <w:szCs w:val="28"/>
          <w:highlight w:val="none"/>
        </w:rPr>
        <w:t>须</w:t>
      </w:r>
      <w:r>
        <w:rPr>
          <w:rFonts w:ascii="仿宋" w:hAnsi="仿宋" w:eastAsia="仿宋" w:cs="Times New Roman"/>
          <w:sz w:val="28"/>
          <w:szCs w:val="28"/>
          <w:highlight w:val="none"/>
        </w:rPr>
        <w:t>紧急响应</w:t>
      </w:r>
      <w:r>
        <w:rPr>
          <w:rFonts w:hint="eastAsia" w:ascii="仿宋" w:hAnsi="仿宋" w:eastAsia="仿宋" w:cs="MS Mincho"/>
          <w:sz w:val="28"/>
          <w:szCs w:val="28"/>
          <w:highlight w:val="none"/>
        </w:rPr>
        <w:t>，</w:t>
      </w:r>
      <w:r>
        <w:rPr>
          <w:rFonts w:ascii="仿宋" w:hAnsi="仿宋" w:eastAsia="仿宋" w:cs="Times New Roman"/>
          <w:sz w:val="28"/>
          <w:szCs w:val="28"/>
          <w:highlight w:val="none"/>
        </w:rPr>
        <w:t>2小时内到达现场</w:t>
      </w:r>
      <w:r>
        <w:rPr>
          <w:rFonts w:hint="eastAsia" w:ascii="仿宋" w:hAnsi="仿宋" w:eastAsia="仿宋" w:cs="Times New Roman"/>
          <w:sz w:val="28"/>
          <w:szCs w:val="28"/>
          <w:highlight w:val="none"/>
        </w:rPr>
        <w:t>。</w:t>
      </w:r>
    </w:p>
    <w:p w14:paraId="7959F49D">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5.</w:t>
      </w:r>
      <w:r>
        <w:rPr>
          <w:rFonts w:ascii="仿宋" w:hAnsi="仿宋" w:eastAsia="仿宋" w:cs="Times New Roman"/>
          <w:sz w:val="28"/>
          <w:szCs w:val="28"/>
          <w:highlight w:val="none"/>
        </w:rPr>
        <w:t>员工法律培训</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每年度≥1次（医疗风险防范、合同管理等）</w:t>
      </w:r>
      <w:r>
        <w:rPr>
          <w:rFonts w:hint="eastAsia" w:ascii="仿宋" w:hAnsi="仿宋" w:eastAsia="仿宋" w:cs="Times New Roman"/>
          <w:sz w:val="28"/>
          <w:szCs w:val="28"/>
          <w:highlight w:val="none"/>
        </w:rPr>
        <w:t>。</w:t>
      </w:r>
    </w:p>
    <w:p w14:paraId="2077317E">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6.</w:t>
      </w:r>
      <w:r>
        <w:rPr>
          <w:rFonts w:ascii="仿宋" w:hAnsi="仿宋" w:eastAsia="仿宋" w:cs="Times New Roman"/>
          <w:sz w:val="28"/>
          <w:szCs w:val="28"/>
          <w:highlight w:val="none"/>
        </w:rPr>
        <w:t>现场咨询服务</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每年度≥6次，每次≥3小时</w:t>
      </w:r>
      <w:r>
        <w:rPr>
          <w:rFonts w:hint="eastAsia" w:ascii="仿宋" w:hAnsi="仿宋" w:eastAsia="仿宋" w:cs="Times New Roman"/>
          <w:sz w:val="28"/>
          <w:szCs w:val="28"/>
          <w:highlight w:val="none"/>
        </w:rPr>
        <w:t>。</w:t>
      </w:r>
    </w:p>
    <w:p w14:paraId="3F5A29B5">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7.处理甲方交办的其他法律事务。</w:t>
      </w:r>
    </w:p>
    <w:p w14:paraId="3A7DC4CA">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b/>
          <w:bCs/>
          <w:sz w:val="28"/>
          <w:szCs w:val="28"/>
          <w:highlight w:val="none"/>
        </w:rPr>
        <w:t>二、诉讼代理</w:t>
      </w:r>
      <w:r>
        <w:rPr>
          <w:rFonts w:hint="eastAsia" w:ascii="MS Mincho" w:hAnsi="MS Mincho" w:eastAsia="MS Mincho" w:cs="MS Mincho"/>
          <w:b/>
          <w:bCs/>
          <w:sz w:val="28"/>
          <w:szCs w:val="28"/>
          <w:highlight w:val="none"/>
        </w:rPr>
        <w:t>​</w:t>
      </w:r>
    </w:p>
    <w:p w14:paraId="01D03BFB">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b/>
          <w:bCs/>
          <w:sz w:val="28"/>
          <w:szCs w:val="28"/>
          <w:highlight w:val="none"/>
        </w:rPr>
        <w:t>（一）代理甲方委托的所有诉讼、仲裁及调解案件。</w:t>
      </w:r>
    </w:p>
    <w:p w14:paraId="05F33EEC">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hint="eastAsia" w:ascii="仿宋" w:hAnsi="仿宋" w:eastAsia="仿宋" w:cs="MS Mincho"/>
          <w:b/>
          <w:bCs/>
          <w:sz w:val="28"/>
          <w:szCs w:val="28"/>
          <w:highlight w:val="none"/>
        </w:rPr>
        <w:t>（二）</w:t>
      </w:r>
      <w:r>
        <w:rPr>
          <w:rFonts w:ascii="仿宋" w:hAnsi="仿宋" w:eastAsia="仿宋" w:cs="Times New Roman"/>
          <w:b/>
          <w:bCs/>
          <w:sz w:val="28"/>
          <w:szCs w:val="28"/>
          <w:highlight w:val="none"/>
        </w:rPr>
        <w:t>免费代理范围</w:t>
      </w:r>
      <w:r>
        <w:rPr>
          <w:rFonts w:hint="eastAsia" w:ascii="MS Mincho" w:hAnsi="MS Mincho" w:eastAsia="MS Mincho" w:cs="MS Mincho"/>
          <w:sz w:val="28"/>
          <w:szCs w:val="28"/>
          <w:highlight w:val="none"/>
        </w:rPr>
        <w:t>​</w:t>
      </w:r>
      <w:r>
        <w:rPr>
          <w:rFonts w:ascii="仿宋" w:hAnsi="仿宋" w:eastAsia="仿宋" w:cs="Times New Roman"/>
          <w:sz w:val="28"/>
          <w:szCs w:val="28"/>
          <w:highlight w:val="none"/>
        </w:rPr>
        <w:t>：</w:t>
      </w:r>
    </w:p>
    <w:p w14:paraId="1E4EE143">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所有行政诉讼、劳动人事争议仲裁及诉讼</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每年度1起标的额≤10万元的民事诉讼</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（差旅费</w:t>
      </w:r>
      <w:r>
        <w:rPr>
          <w:rFonts w:hint="eastAsia" w:ascii="仿宋" w:hAnsi="仿宋" w:eastAsia="仿宋" w:cs="Times New Roman"/>
          <w:sz w:val="28"/>
          <w:szCs w:val="28"/>
          <w:highlight w:val="none"/>
        </w:rPr>
        <w:t>均</w:t>
      </w:r>
      <w:r>
        <w:rPr>
          <w:rFonts w:ascii="仿宋" w:hAnsi="仿宋" w:eastAsia="仿宋" w:cs="Times New Roman"/>
          <w:sz w:val="28"/>
          <w:szCs w:val="28"/>
          <w:highlight w:val="none"/>
        </w:rPr>
        <w:t>由甲方实报实销）</w:t>
      </w:r>
    </w:p>
    <w:p w14:paraId="53247CC3">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hint="eastAsia" w:ascii="仿宋" w:hAnsi="仿宋" w:eastAsia="仿宋" w:cs="MS Mincho"/>
          <w:b/>
          <w:bCs/>
          <w:sz w:val="28"/>
          <w:szCs w:val="28"/>
          <w:highlight w:val="none"/>
        </w:rPr>
        <w:t>（三）</w:t>
      </w:r>
      <w:r>
        <w:rPr>
          <w:rFonts w:ascii="仿宋" w:hAnsi="仿宋" w:eastAsia="仿宋" w:cs="Times New Roman"/>
          <w:b/>
          <w:bCs/>
          <w:sz w:val="28"/>
          <w:szCs w:val="28"/>
          <w:highlight w:val="none"/>
        </w:rPr>
        <w:t>医疗损害责任纠纷代理</w:t>
      </w:r>
      <w:r>
        <w:rPr>
          <w:rFonts w:hint="eastAsia" w:ascii="MS Mincho" w:hAnsi="MS Mincho" w:eastAsia="MS Mincho" w:cs="MS Mincho"/>
          <w:sz w:val="28"/>
          <w:szCs w:val="28"/>
          <w:highlight w:val="none"/>
        </w:rPr>
        <w:t>​</w:t>
      </w:r>
      <w:r>
        <w:rPr>
          <w:rFonts w:ascii="仿宋" w:hAnsi="仿宋" w:eastAsia="仿宋" w:cs="Times New Roman"/>
          <w:sz w:val="28"/>
          <w:szCs w:val="28"/>
          <w:highlight w:val="none"/>
        </w:rPr>
        <w:t>：</w:t>
      </w:r>
    </w:p>
    <w:p w14:paraId="39D3323C">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医疗损害责任纠纷案件代理</w:t>
      </w:r>
      <w:r>
        <w:rPr>
          <w:rFonts w:ascii="仿宋" w:hAnsi="仿宋" w:eastAsia="仿宋" w:cs="Times New Roman"/>
          <w:sz w:val="28"/>
          <w:szCs w:val="28"/>
          <w:highlight w:val="none"/>
        </w:rPr>
        <w:t>律师须满足：执业≥10年，2021年1月1日以来代理医疗损害案件≥15宗</w:t>
      </w:r>
      <w:r>
        <w:rPr>
          <w:rFonts w:hint="eastAsia" w:ascii="仿宋" w:hAnsi="仿宋" w:eastAsia="仿宋" w:cs="Times New Roman"/>
          <w:sz w:val="28"/>
          <w:szCs w:val="28"/>
          <w:highlight w:val="none"/>
        </w:rPr>
        <w:t>。</w:t>
      </w:r>
    </w:p>
    <w:p w14:paraId="51DA0EF4">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MS Mincho" w:hAnsi="MS Mincho" w:eastAsia="MS Mincho" w:cs="MS Mincho"/>
          <w:sz w:val="28"/>
          <w:szCs w:val="28"/>
          <w:highlight w:val="none"/>
        </w:rPr>
        <w:t>​</w:t>
      </w:r>
      <w:r>
        <w:rPr>
          <w:rFonts w:ascii="仿宋" w:hAnsi="仿宋" w:eastAsia="仿宋" w:cs="Times New Roman"/>
          <w:sz w:val="28"/>
          <w:szCs w:val="28"/>
          <w:highlight w:val="none"/>
        </w:rPr>
        <w:t xml:space="preserve"> </w:t>
      </w:r>
    </w:p>
    <w:p w14:paraId="11B4AEFA">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第二条 服务团队</w:t>
      </w:r>
      <w:r>
        <w:rPr>
          <w:rFonts w:hint="eastAsia" w:ascii="MS Mincho" w:hAnsi="MS Mincho" w:eastAsia="MS Mincho" w:cs="MS Mincho"/>
          <w:b/>
          <w:bCs/>
          <w:sz w:val="28"/>
          <w:szCs w:val="28"/>
          <w:highlight w:val="none"/>
        </w:rPr>
        <w:t>​</w:t>
      </w:r>
      <w:r>
        <w:rPr>
          <w:rFonts w:hint="eastAsia" w:ascii="仿宋" w:hAnsi="仿宋" w:eastAsia="仿宋" w:cs="Times New Roman"/>
          <w:b/>
          <w:bCs/>
          <w:sz w:val="28"/>
          <w:szCs w:val="28"/>
          <w:highlight w:val="none"/>
        </w:rPr>
        <w:t>及联系人</w:t>
      </w:r>
    </w:p>
    <w:p w14:paraId="5BA977E6">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ascii="仿宋" w:hAnsi="仿宋" w:eastAsia="仿宋" w:cs="Times New Roman"/>
          <w:b/>
          <w:bCs/>
          <w:sz w:val="28"/>
          <w:szCs w:val="28"/>
          <w:highlight w:val="none"/>
        </w:rPr>
        <w:t>主办律师</w:t>
      </w:r>
      <w:r>
        <w:rPr>
          <w:rFonts w:hint="eastAsia" w:ascii="MS Mincho" w:hAnsi="MS Mincho" w:eastAsia="MS Mincho" w:cs="MS Mincho"/>
          <w:sz w:val="28"/>
          <w:szCs w:val="28"/>
          <w:highlight w:val="none"/>
        </w:rPr>
        <w:t>​</w:t>
      </w:r>
      <w:r>
        <w:rPr>
          <w:rFonts w:ascii="仿宋" w:hAnsi="仿宋" w:eastAsia="仿宋" w:cs="Times New Roman"/>
          <w:sz w:val="28"/>
          <w:szCs w:val="28"/>
          <w:highlight w:val="none"/>
        </w:rPr>
        <w:t>：</w:t>
      </w:r>
    </w:p>
    <w:p w14:paraId="0F698C8C">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 xml:space="preserve">姓名：_________ </w:t>
      </w:r>
    </w:p>
    <w:p w14:paraId="71422CF4">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b/>
          <w:bCs/>
          <w:sz w:val="28"/>
          <w:szCs w:val="28"/>
          <w:highlight w:val="none"/>
        </w:rPr>
        <w:t>律师</w:t>
      </w:r>
      <w:r>
        <w:rPr>
          <w:rFonts w:ascii="仿宋" w:hAnsi="仿宋" w:eastAsia="仿宋" w:cs="Times New Roman"/>
          <w:b/>
          <w:bCs/>
          <w:sz w:val="28"/>
          <w:szCs w:val="28"/>
          <w:highlight w:val="none"/>
        </w:rPr>
        <w:t>团队</w:t>
      </w:r>
      <w:r>
        <w:rPr>
          <w:rFonts w:hint="eastAsia" w:ascii="MS Mincho" w:hAnsi="MS Mincho" w:eastAsia="MS Mincho" w:cs="MS Mincho"/>
          <w:sz w:val="28"/>
          <w:szCs w:val="28"/>
          <w:highlight w:val="none"/>
        </w:rPr>
        <w:t>​</w:t>
      </w:r>
      <w:r>
        <w:rPr>
          <w:rFonts w:ascii="仿宋" w:hAnsi="仿宋" w:eastAsia="仿宋" w:cs="Times New Roman"/>
          <w:sz w:val="28"/>
          <w:szCs w:val="28"/>
          <w:highlight w:val="none"/>
        </w:rPr>
        <w:t>：</w:t>
      </w:r>
    </w:p>
    <w:p w14:paraId="12C381FB">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成员：_________</w:t>
      </w:r>
    </w:p>
    <w:p w14:paraId="47A56010">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u w:val="single"/>
        </w:rPr>
      </w:pPr>
      <w:r>
        <w:rPr>
          <w:rFonts w:hint="eastAsia" w:ascii="仿宋" w:hAnsi="仿宋" w:eastAsia="仿宋" w:cs="Times New Roman"/>
          <w:b/>
          <w:bCs/>
          <w:sz w:val="28"/>
          <w:szCs w:val="28"/>
          <w:highlight w:val="none"/>
        </w:rPr>
        <w:t>甲方联系人：</w:t>
      </w:r>
      <w:r>
        <w:rPr>
          <w:rFonts w:hint="eastAsia" w:ascii="仿宋" w:hAnsi="仿宋" w:eastAsia="仿宋" w:cs="Times New Roman"/>
          <w:b/>
          <w:bCs/>
          <w:sz w:val="28"/>
          <w:szCs w:val="28"/>
          <w:highlight w:val="none"/>
          <w:u w:val="single"/>
        </w:rPr>
        <w:t xml:space="preserve">          </w:t>
      </w:r>
    </w:p>
    <w:p w14:paraId="2E63225A">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第三条 服务期限与续签</w:t>
      </w:r>
      <w:r>
        <w:rPr>
          <w:rFonts w:hint="eastAsia" w:ascii="MS Mincho" w:hAnsi="MS Mincho" w:eastAsia="MS Mincho" w:cs="MS Mincho"/>
          <w:b/>
          <w:bCs/>
          <w:sz w:val="28"/>
          <w:szCs w:val="28"/>
          <w:highlight w:val="none"/>
        </w:rPr>
        <w:t>​</w:t>
      </w:r>
    </w:p>
    <w:p w14:paraId="2C2996B0">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ascii="仿宋" w:hAnsi="仿宋" w:eastAsia="仿宋" w:cs="Times New Roman"/>
          <w:b/>
          <w:bCs/>
          <w:sz w:val="28"/>
          <w:szCs w:val="28"/>
          <w:highlight w:val="none"/>
        </w:rPr>
        <w:t>本合同有效期</w:t>
      </w:r>
      <w:r>
        <w:rPr>
          <w:rFonts w:hint="eastAsia" w:ascii="MS Mincho" w:hAnsi="MS Mincho" w:eastAsia="MS Mincho" w:cs="MS Mincho"/>
          <w:sz w:val="28"/>
          <w:szCs w:val="28"/>
          <w:highlight w:val="none"/>
        </w:rPr>
        <w:t>​</w:t>
      </w:r>
      <w:r>
        <w:rPr>
          <w:rFonts w:ascii="仿宋" w:hAnsi="仿宋" w:eastAsia="仿宋" w:cs="Times New Roman"/>
          <w:sz w:val="28"/>
          <w:szCs w:val="28"/>
          <w:highlight w:val="none"/>
        </w:rPr>
        <w:t>：______年______月______日至______年______月______日</w:t>
      </w:r>
    </w:p>
    <w:p w14:paraId="3FFBA052">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MS Mincho" w:hAnsi="MS Mincho" w:eastAsia="MS Mincho" w:cs="MS Mincho"/>
          <w:sz w:val="28"/>
          <w:szCs w:val="28"/>
          <w:highlight w:val="none"/>
        </w:rPr>
        <w:t>​</w:t>
      </w:r>
      <w:r>
        <w:rPr>
          <w:rFonts w:ascii="仿宋" w:hAnsi="仿宋" w:eastAsia="仿宋" w:cs="Times New Roman"/>
          <w:sz w:val="28"/>
          <w:szCs w:val="28"/>
          <w:highlight w:val="none"/>
        </w:rPr>
        <w:t>合同期满前30日，甲方根据乙方履约考核决定是否续签</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每次续签期限1年，累计不超过2次</w:t>
      </w:r>
      <w:r>
        <w:rPr>
          <w:rFonts w:hint="eastAsia" w:ascii="仿宋" w:hAnsi="仿宋" w:eastAsia="仿宋" w:cs="Times New Roman"/>
          <w:sz w:val="28"/>
          <w:szCs w:val="28"/>
          <w:highlight w:val="none"/>
        </w:rPr>
        <w:t>。</w:t>
      </w:r>
    </w:p>
    <w:p w14:paraId="33424F3E">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p>
    <w:p w14:paraId="11E6D51E">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第四条 费用与支付</w:t>
      </w:r>
      <w:r>
        <w:rPr>
          <w:rFonts w:hint="eastAsia" w:ascii="MS Mincho" w:hAnsi="MS Mincho" w:eastAsia="MS Mincho" w:cs="MS Mincho"/>
          <w:b/>
          <w:bCs/>
          <w:sz w:val="28"/>
          <w:szCs w:val="28"/>
          <w:highlight w:val="none"/>
        </w:rPr>
        <w:t>​</w:t>
      </w:r>
    </w:p>
    <w:p w14:paraId="5F8AA056">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（一）常年法律顾问费</w:t>
      </w:r>
      <w:r>
        <w:rPr>
          <w:rFonts w:hint="eastAsia" w:ascii="MS Mincho" w:hAnsi="MS Mincho" w:eastAsia="MS Mincho" w:cs="MS Mincho"/>
          <w:b/>
          <w:bCs/>
          <w:sz w:val="28"/>
          <w:szCs w:val="28"/>
          <w:highlight w:val="none"/>
        </w:rPr>
        <w:t>​</w:t>
      </w:r>
    </w:p>
    <w:p w14:paraId="6435E52C">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 xml:space="preserve">金额：人民币_________（大写：）元/年 </w:t>
      </w:r>
    </w:p>
    <w:p w14:paraId="02A5B256">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支付时间：每服务年度第2个自然月内一次性支付</w:t>
      </w:r>
      <w:r>
        <w:rPr>
          <w:rFonts w:hint="eastAsia" w:ascii="仿宋" w:hAnsi="仿宋" w:eastAsia="仿宋" w:cs="Times New Roman"/>
          <w:sz w:val="28"/>
          <w:szCs w:val="28"/>
          <w:highlight w:val="none"/>
        </w:rPr>
        <w:t>，乙方须在付款前提供发票。</w:t>
      </w:r>
    </w:p>
    <w:p w14:paraId="29B74F8E">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b/>
          <w:bCs/>
          <w:sz w:val="28"/>
          <w:szCs w:val="28"/>
          <w:highlight w:val="none"/>
        </w:rPr>
      </w:pPr>
      <w:r>
        <w:rPr>
          <w:rFonts w:hint="eastAsia" w:ascii="MS Mincho" w:hAnsi="MS Mincho" w:eastAsia="MS Mincho" w:cs="MS Mincho"/>
          <w:b/>
          <w:bCs/>
          <w:sz w:val="28"/>
          <w:szCs w:val="28"/>
          <w:highlight w:val="none"/>
        </w:rPr>
        <w:t>​​</w:t>
      </w:r>
      <w:r>
        <w:rPr>
          <w:rFonts w:ascii="仿宋" w:hAnsi="仿宋" w:eastAsia="仿宋" w:cs="Times New Roman"/>
          <w:b/>
          <w:bCs/>
          <w:sz w:val="28"/>
          <w:szCs w:val="28"/>
          <w:highlight w:val="none"/>
        </w:rPr>
        <w:t>（二）诉讼</w:t>
      </w:r>
      <w:r>
        <w:rPr>
          <w:rFonts w:hint="eastAsia" w:ascii="仿宋" w:hAnsi="仿宋" w:eastAsia="仿宋" w:cs="Times New Roman"/>
          <w:b/>
          <w:bCs/>
          <w:sz w:val="28"/>
          <w:szCs w:val="28"/>
          <w:highlight w:val="none"/>
        </w:rPr>
        <w:t>/仲裁</w:t>
      </w:r>
      <w:r>
        <w:rPr>
          <w:rFonts w:ascii="仿宋" w:hAnsi="仿宋" w:eastAsia="仿宋" w:cs="Times New Roman"/>
          <w:b/>
          <w:bCs/>
          <w:sz w:val="28"/>
          <w:szCs w:val="28"/>
          <w:highlight w:val="none"/>
        </w:rPr>
        <w:t>代理费</w:t>
      </w:r>
      <w:r>
        <w:rPr>
          <w:rFonts w:hint="eastAsia" w:ascii="MS Mincho" w:hAnsi="MS Mincho" w:eastAsia="MS Mincho" w:cs="MS Mincho"/>
          <w:b/>
          <w:bCs/>
          <w:sz w:val="28"/>
          <w:szCs w:val="28"/>
          <w:highlight w:val="none"/>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156"/>
        <w:gridCol w:w="2652"/>
        <w:gridCol w:w="1858"/>
      </w:tblGrid>
      <w:tr w14:paraId="5971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48" w:type="dxa"/>
            <w:shd w:val="clear" w:color="auto" w:fill="auto"/>
            <w:tcMar>
              <w:top w:w="150" w:type="dxa"/>
              <w:left w:w="180" w:type="dxa"/>
              <w:bottom w:w="150" w:type="dxa"/>
              <w:right w:w="180" w:type="dxa"/>
            </w:tcMar>
            <w:vAlign w:val="center"/>
          </w:tcPr>
          <w:p w14:paraId="7873CAE9">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center"/>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案件类型</w:t>
            </w:r>
          </w:p>
        </w:tc>
        <w:tc>
          <w:tcPr>
            <w:tcW w:w="4586" w:type="dxa"/>
            <w:gridSpan w:val="2"/>
            <w:shd w:val="clear" w:color="auto" w:fill="auto"/>
            <w:tcMar>
              <w:top w:w="150" w:type="dxa"/>
              <w:left w:w="180" w:type="dxa"/>
              <w:bottom w:w="150" w:type="dxa"/>
              <w:right w:w="180" w:type="dxa"/>
            </w:tcMar>
            <w:vAlign w:val="center"/>
          </w:tcPr>
          <w:p w14:paraId="0D3C32B3">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center"/>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收费方式</w:t>
            </w:r>
          </w:p>
        </w:tc>
      </w:tr>
      <w:tr w14:paraId="0E6D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48" w:type="dxa"/>
            <w:shd w:val="clear" w:color="auto" w:fill="auto"/>
            <w:tcMar>
              <w:top w:w="150" w:type="dxa"/>
              <w:left w:w="180" w:type="dxa"/>
              <w:bottom w:w="150" w:type="dxa"/>
              <w:right w:w="180" w:type="dxa"/>
            </w:tcMar>
            <w:vAlign w:val="center"/>
          </w:tcPr>
          <w:p w14:paraId="7BD77C26">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ascii="仿宋" w:hAnsi="仿宋" w:eastAsia="仿宋" w:cs="Times New Roman"/>
                <w:b/>
                <w:bCs/>
                <w:sz w:val="28"/>
                <w:szCs w:val="28"/>
                <w:highlight w:val="none"/>
              </w:rPr>
              <w:t>医疗损害责任纠纷</w:t>
            </w:r>
            <w:r>
              <w:rPr>
                <w:rFonts w:hint="eastAsia" w:ascii="MS Mincho" w:hAnsi="MS Mincho" w:eastAsia="MS Mincho" w:cs="MS Mincho"/>
                <w:sz w:val="28"/>
                <w:szCs w:val="28"/>
                <w:highlight w:val="none"/>
              </w:rPr>
              <w:t>​</w:t>
            </w:r>
          </w:p>
        </w:tc>
        <w:tc>
          <w:tcPr>
            <w:tcW w:w="4586" w:type="dxa"/>
            <w:gridSpan w:val="2"/>
            <w:shd w:val="clear" w:color="auto" w:fill="auto"/>
            <w:tcMar>
              <w:top w:w="150" w:type="dxa"/>
              <w:left w:w="180" w:type="dxa"/>
              <w:bottom w:w="150" w:type="dxa"/>
              <w:right w:w="180" w:type="dxa"/>
            </w:tcMar>
            <w:vAlign w:val="center"/>
          </w:tcPr>
          <w:p w14:paraId="14C2C0DB">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一、二审阶段每件总计：</w:t>
            </w:r>
            <w:r>
              <w:rPr>
                <w:rFonts w:ascii="Calibri" w:hAnsi="Calibri" w:eastAsia="仿宋" w:cs="Calibri"/>
                <w:sz w:val="28"/>
                <w:szCs w:val="28"/>
                <w:highlight w:val="none"/>
              </w:rPr>
              <w:t>¥</w:t>
            </w:r>
            <w:r>
              <w:rPr>
                <w:rFonts w:ascii="仿宋" w:hAnsi="仿宋" w:eastAsia="仿宋" w:cs="Times New Roman"/>
                <w:sz w:val="28"/>
                <w:szCs w:val="28"/>
                <w:highlight w:val="none"/>
              </w:rPr>
              <w:t>_________元</w:t>
            </w:r>
          </w:p>
        </w:tc>
      </w:tr>
      <w:tr w14:paraId="5E30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48" w:type="dxa"/>
            <w:shd w:val="clear" w:color="auto" w:fill="auto"/>
            <w:tcMar>
              <w:top w:w="150" w:type="dxa"/>
              <w:left w:w="180" w:type="dxa"/>
              <w:bottom w:w="150" w:type="dxa"/>
              <w:right w:w="180" w:type="dxa"/>
            </w:tcMar>
            <w:vAlign w:val="center"/>
          </w:tcPr>
          <w:p w14:paraId="14F7CE2A">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p>
        </w:tc>
        <w:tc>
          <w:tcPr>
            <w:tcW w:w="4586" w:type="dxa"/>
            <w:gridSpan w:val="2"/>
            <w:shd w:val="clear" w:color="auto" w:fill="auto"/>
            <w:tcMar>
              <w:top w:w="150" w:type="dxa"/>
              <w:left w:w="180" w:type="dxa"/>
              <w:bottom w:w="150" w:type="dxa"/>
              <w:right w:w="180" w:type="dxa"/>
            </w:tcMar>
            <w:vAlign w:val="center"/>
          </w:tcPr>
          <w:p w14:paraId="01ACD33D">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再审阶段：一、二审费×_________%</w:t>
            </w:r>
          </w:p>
        </w:tc>
      </w:tr>
      <w:tr w14:paraId="1C67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48" w:type="dxa"/>
            <w:shd w:val="clear" w:color="auto" w:fill="auto"/>
            <w:tcMar>
              <w:top w:w="150" w:type="dxa"/>
              <w:left w:w="180" w:type="dxa"/>
              <w:bottom w:w="150" w:type="dxa"/>
              <w:right w:w="180" w:type="dxa"/>
            </w:tcMar>
            <w:vAlign w:val="center"/>
          </w:tcPr>
          <w:p w14:paraId="065A1AAD">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ascii="仿宋" w:hAnsi="仿宋" w:eastAsia="仿宋" w:cs="Times New Roman"/>
                <w:b/>
                <w:bCs/>
                <w:sz w:val="28"/>
                <w:szCs w:val="28"/>
                <w:highlight w:val="none"/>
              </w:rPr>
              <w:t>其他民事案件</w:t>
            </w:r>
            <w:r>
              <w:rPr>
                <w:rFonts w:hint="eastAsia" w:ascii="MS Mincho" w:hAnsi="MS Mincho" w:eastAsia="MS Mincho" w:cs="MS Mincho"/>
                <w:sz w:val="28"/>
                <w:szCs w:val="28"/>
                <w:highlight w:val="none"/>
              </w:rPr>
              <w:t>​</w:t>
            </w:r>
          </w:p>
        </w:tc>
        <w:tc>
          <w:tcPr>
            <w:tcW w:w="4586" w:type="dxa"/>
            <w:gridSpan w:val="2"/>
            <w:shd w:val="clear" w:color="auto" w:fill="auto"/>
            <w:tcMar>
              <w:top w:w="150" w:type="dxa"/>
              <w:left w:w="180" w:type="dxa"/>
              <w:bottom w:w="150" w:type="dxa"/>
              <w:right w:w="180" w:type="dxa"/>
            </w:tcMar>
            <w:vAlign w:val="center"/>
          </w:tcPr>
          <w:p w14:paraId="49BE1638">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基础代理费：</w:t>
            </w:r>
            <w:r>
              <w:rPr>
                <w:rFonts w:ascii="Calibri" w:hAnsi="Calibri" w:eastAsia="仿宋" w:cs="Calibri"/>
                <w:sz w:val="28"/>
                <w:szCs w:val="28"/>
                <w:highlight w:val="none"/>
              </w:rPr>
              <w:t>¥</w:t>
            </w:r>
            <w:r>
              <w:rPr>
                <w:rFonts w:ascii="仿宋" w:hAnsi="仿宋" w:eastAsia="仿宋" w:cs="Times New Roman"/>
                <w:sz w:val="28"/>
                <w:szCs w:val="28"/>
                <w:highlight w:val="none"/>
              </w:rPr>
              <w:t>_________元</w:t>
            </w:r>
          </w:p>
        </w:tc>
      </w:tr>
      <w:tr w14:paraId="182E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48" w:type="dxa"/>
            <w:shd w:val="clear" w:color="auto" w:fill="auto"/>
            <w:tcMar>
              <w:top w:w="150" w:type="dxa"/>
              <w:left w:w="180" w:type="dxa"/>
              <w:bottom w:w="150" w:type="dxa"/>
              <w:right w:w="180" w:type="dxa"/>
            </w:tcMar>
          </w:tcPr>
          <w:p w14:paraId="5B7EBB25">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争议标的</w:t>
            </w:r>
          </w:p>
        </w:tc>
        <w:tc>
          <w:tcPr>
            <w:tcW w:w="2693" w:type="dxa"/>
            <w:shd w:val="clear" w:color="auto" w:fill="auto"/>
            <w:tcMar>
              <w:top w:w="150" w:type="dxa"/>
              <w:left w:w="180" w:type="dxa"/>
              <w:bottom w:w="150" w:type="dxa"/>
              <w:right w:w="180" w:type="dxa"/>
            </w:tcMar>
          </w:tcPr>
          <w:p w14:paraId="4BA7129B">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center"/>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院定费率</w:t>
            </w:r>
          </w:p>
        </w:tc>
        <w:tc>
          <w:tcPr>
            <w:tcW w:w="1893" w:type="dxa"/>
            <w:shd w:val="clear" w:color="auto" w:fill="auto"/>
          </w:tcPr>
          <w:p w14:paraId="27DE59FA">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center"/>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折扣率</w:t>
            </w:r>
          </w:p>
        </w:tc>
      </w:tr>
      <w:tr w14:paraId="5896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rPr>
        <w:tc>
          <w:tcPr>
            <w:tcW w:w="4248" w:type="dxa"/>
            <w:shd w:val="clear" w:color="auto" w:fill="auto"/>
            <w:tcMar>
              <w:top w:w="150" w:type="dxa"/>
              <w:left w:w="180" w:type="dxa"/>
              <w:bottom w:w="150" w:type="dxa"/>
              <w:right w:w="180" w:type="dxa"/>
            </w:tcMar>
          </w:tcPr>
          <w:p w14:paraId="6894CF03">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10万元（不含）-50万元（含）</w:t>
            </w:r>
          </w:p>
        </w:tc>
        <w:tc>
          <w:tcPr>
            <w:tcW w:w="2693" w:type="dxa"/>
            <w:shd w:val="clear" w:color="auto" w:fill="auto"/>
            <w:tcMar>
              <w:top w:w="150" w:type="dxa"/>
              <w:left w:w="180" w:type="dxa"/>
              <w:bottom w:w="150" w:type="dxa"/>
              <w:right w:w="180" w:type="dxa"/>
            </w:tcMar>
          </w:tcPr>
          <w:p w14:paraId="1E449B16">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center"/>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2%</w:t>
            </w:r>
          </w:p>
        </w:tc>
        <w:tc>
          <w:tcPr>
            <w:tcW w:w="1893" w:type="dxa"/>
            <w:vMerge w:val="restart"/>
            <w:shd w:val="clear" w:color="auto" w:fill="auto"/>
          </w:tcPr>
          <w:p w14:paraId="2FD6A578">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p>
        </w:tc>
      </w:tr>
      <w:tr w14:paraId="796D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48" w:type="dxa"/>
            <w:shd w:val="clear" w:color="auto" w:fill="auto"/>
            <w:tcMar>
              <w:top w:w="150" w:type="dxa"/>
              <w:left w:w="180" w:type="dxa"/>
              <w:bottom w:w="150" w:type="dxa"/>
              <w:right w:w="180" w:type="dxa"/>
            </w:tcMar>
          </w:tcPr>
          <w:p w14:paraId="1DF8F3E0">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50万元（不含）-100万元（含）</w:t>
            </w:r>
          </w:p>
        </w:tc>
        <w:tc>
          <w:tcPr>
            <w:tcW w:w="2693" w:type="dxa"/>
            <w:shd w:val="clear" w:color="auto" w:fill="auto"/>
            <w:tcMar>
              <w:top w:w="150" w:type="dxa"/>
              <w:left w:w="180" w:type="dxa"/>
              <w:bottom w:w="150" w:type="dxa"/>
              <w:right w:w="180" w:type="dxa"/>
            </w:tcMar>
          </w:tcPr>
          <w:p w14:paraId="2B4A9779">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center"/>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1.5%</w:t>
            </w:r>
          </w:p>
        </w:tc>
        <w:tc>
          <w:tcPr>
            <w:tcW w:w="1893" w:type="dxa"/>
            <w:vMerge w:val="continue"/>
            <w:shd w:val="clear" w:color="auto" w:fill="auto"/>
          </w:tcPr>
          <w:p w14:paraId="72B08867">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p>
        </w:tc>
      </w:tr>
      <w:tr w14:paraId="6615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48" w:type="dxa"/>
            <w:shd w:val="clear" w:color="auto" w:fill="auto"/>
            <w:tcMar>
              <w:top w:w="150" w:type="dxa"/>
              <w:left w:w="180" w:type="dxa"/>
              <w:bottom w:w="150" w:type="dxa"/>
              <w:right w:w="180" w:type="dxa"/>
            </w:tcMar>
          </w:tcPr>
          <w:p w14:paraId="19F811EF">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100万元（不含）-500万元（含）</w:t>
            </w:r>
          </w:p>
        </w:tc>
        <w:tc>
          <w:tcPr>
            <w:tcW w:w="2693" w:type="dxa"/>
            <w:shd w:val="clear" w:color="auto" w:fill="auto"/>
            <w:tcMar>
              <w:top w:w="150" w:type="dxa"/>
              <w:left w:w="180" w:type="dxa"/>
              <w:bottom w:w="150" w:type="dxa"/>
              <w:right w:w="180" w:type="dxa"/>
            </w:tcMar>
          </w:tcPr>
          <w:p w14:paraId="5D07B2B8">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center"/>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1%</w:t>
            </w:r>
          </w:p>
        </w:tc>
        <w:tc>
          <w:tcPr>
            <w:tcW w:w="1893" w:type="dxa"/>
            <w:vMerge w:val="continue"/>
            <w:shd w:val="clear" w:color="auto" w:fill="auto"/>
          </w:tcPr>
          <w:p w14:paraId="5CD4ADA1">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p>
        </w:tc>
      </w:tr>
      <w:tr w14:paraId="1C51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48" w:type="dxa"/>
            <w:shd w:val="clear" w:color="auto" w:fill="auto"/>
            <w:tcMar>
              <w:top w:w="150" w:type="dxa"/>
              <w:left w:w="180" w:type="dxa"/>
              <w:bottom w:w="150" w:type="dxa"/>
              <w:right w:w="180" w:type="dxa"/>
            </w:tcMar>
          </w:tcPr>
          <w:p w14:paraId="64F86AF5">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500万元（不含）-1000万元（含）</w:t>
            </w:r>
          </w:p>
        </w:tc>
        <w:tc>
          <w:tcPr>
            <w:tcW w:w="2693" w:type="dxa"/>
            <w:shd w:val="clear" w:color="auto" w:fill="auto"/>
            <w:tcMar>
              <w:top w:w="150" w:type="dxa"/>
              <w:left w:w="180" w:type="dxa"/>
              <w:bottom w:w="150" w:type="dxa"/>
              <w:right w:w="180" w:type="dxa"/>
            </w:tcMar>
          </w:tcPr>
          <w:p w14:paraId="1E166B6C">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center"/>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0.5%</w:t>
            </w:r>
          </w:p>
        </w:tc>
        <w:tc>
          <w:tcPr>
            <w:tcW w:w="1893" w:type="dxa"/>
            <w:vMerge w:val="continue"/>
            <w:shd w:val="clear" w:color="auto" w:fill="auto"/>
          </w:tcPr>
          <w:p w14:paraId="292C1C96">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p>
        </w:tc>
      </w:tr>
      <w:tr w14:paraId="242F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48" w:type="dxa"/>
            <w:shd w:val="clear" w:color="auto" w:fill="auto"/>
            <w:tcMar>
              <w:top w:w="150" w:type="dxa"/>
              <w:left w:w="180" w:type="dxa"/>
              <w:bottom w:w="150" w:type="dxa"/>
              <w:right w:w="180" w:type="dxa"/>
            </w:tcMar>
          </w:tcPr>
          <w:p w14:paraId="47BEC733">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1000万元（不含）以上</w:t>
            </w:r>
          </w:p>
        </w:tc>
        <w:tc>
          <w:tcPr>
            <w:tcW w:w="2693" w:type="dxa"/>
            <w:shd w:val="clear" w:color="auto" w:fill="auto"/>
            <w:tcMar>
              <w:top w:w="150" w:type="dxa"/>
              <w:left w:w="180" w:type="dxa"/>
              <w:bottom w:w="150" w:type="dxa"/>
              <w:right w:w="180" w:type="dxa"/>
            </w:tcMar>
          </w:tcPr>
          <w:p w14:paraId="60646C0A">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center"/>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0.4%</w:t>
            </w:r>
          </w:p>
        </w:tc>
        <w:tc>
          <w:tcPr>
            <w:tcW w:w="1893" w:type="dxa"/>
            <w:vMerge w:val="continue"/>
            <w:shd w:val="clear" w:color="auto" w:fill="auto"/>
          </w:tcPr>
          <w:p w14:paraId="7CECD188">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p>
        </w:tc>
      </w:tr>
      <w:tr w14:paraId="0730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834" w:type="dxa"/>
            <w:gridSpan w:val="3"/>
            <w:shd w:val="clear" w:color="auto" w:fill="auto"/>
            <w:tcMar>
              <w:top w:w="150" w:type="dxa"/>
              <w:left w:w="180" w:type="dxa"/>
              <w:bottom w:w="150" w:type="dxa"/>
              <w:right w:w="180" w:type="dxa"/>
            </w:tcMar>
          </w:tcPr>
          <w:p w14:paraId="4C459FCD">
            <w:pPr>
              <w:keepNext w:val="0"/>
              <w:keepLines w:val="0"/>
              <w:pageBreakBefore w:val="0"/>
              <w:widowControl w:val="0"/>
              <w:shd w:val="clear"/>
              <w:kinsoku/>
              <w:wordWrap/>
              <w:overflowPunct/>
              <w:topLinePunct w:val="0"/>
              <w:autoSpaceDE/>
              <w:autoSpaceDN/>
              <w:bidi w:val="0"/>
              <w:adjustRightInd/>
              <w:snapToGrid/>
              <w:spacing w:after="0" w:line="500" w:lineRule="exact"/>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1.如争议标的为200万元，投标单位报价折扣率80%，</w:t>
            </w:r>
          </w:p>
          <w:p w14:paraId="26104D99">
            <w:pPr>
              <w:keepNext w:val="0"/>
              <w:keepLines w:val="0"/>
              <w:pageBreakBefore w:val="0"/>
              <w:widowControl w:val="0"/>
              <w:shd w:val="clear"/>
              <w:kinsoku/>
              <w:wordWrap/>
              <w:overflowPunct/>
              <w:topLinePunct w:val="0"/>
              <w:autoSpaceDE/>
              <w:autoSpaceDN/>
              <w:bidi w:val="0"/>
              <w:adjustRightInd/>
              <w:snapToGrid/>
              <w:spacing w:after="0" w:line="500" w:lineRule="exact"/>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则最终收费为:基础代理费+（40万*2%+50万*1.5%+100万*1%)*80%=基本代理费+20400元）。</w:t>
            </w:r>
          </w:p>
          <w:p w14:paraId="5A7D9D0E">
            <w:pPr>
              <w:keepNext w:val="0"/>
              <w:keepLines w:val="0"/>
              <w:pageBreakBefore w:val="0"/>
              <w:widowControl w:val="0"/>
              <w:shd w:val="clear"/>
              <w:kinsoku/>
              <w:wordWrap/>
              <w:overflowPunct/>
              <w:topLinePunct w:val="0"/>
              <w:autoSpaceDE/>
              <w:autoSpaceDN/>
              <w:bidi w:val="0"/>
              <w:adjustRightInd/>
              <w:snapToGrid/>
              <w:spacing w:after="0" w:line="500" w:lineRule="exact"/>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2.单个案件最终收费不高于15万元，包括一审、二审,以及有可能产生的再审、发回重审、执行等程序，以最终结案的法律文书为准。</w:t>
            </w:r>
          </w:p>
          <w:p w14:paraId="557B9125">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ascii="仿宋" w:hAnsi="仿宋" w:eastAsia="仿宋" w:cs="Times New Roman"/>
                <w:sz w:val="28"/>
                <w:szCs w:val="28"/>
                <w:highlight w:val="none"/>
              </w:rPr>
              <w:t>3.根据案件实际情况,经采购人同意，律所可以安排常年法律顾问团队以外的具有专业知识的本所执业律师代理相关案件。</w:t>
            </w:r>
          </w:p>
          <w:p w14:paraId="269397B8">
            <w:pPr>
              <w:keepNext w:val="0"/>
              <w:keepLines w:val="0"/>
              <w:pageBreakBefore w:val="0"/>
              <w:widowControl w:val="0"/>
              <w:shd w:val="clear"/>
              <w:kinsoku/>
              <w:wordWrap/>
              <w:overflowPunct/>
              <w:topLinePunct w:val="0"/>
              <w:autoSpaceDE/>
              <w:autoSpaceDN/>
              <w:bidi w:val="0"/>
              <w:adjustRightInd/>
              <w:snapToGrid/>
              <w:spacing w:after="0" w:line="500" w:lineRule="exact"/>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4.甲方于结案后且收到乙方发票45个工作日内支付。</w:t>
            </w:r>
          </w:p>
        </w:tc>
      </w:tr>
    </w:tbl>
    <w:p w14:paraId="10161022">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ascii="仿宋" w:hAnsi="仿宋" w:eastAsia="仿宋" w:cs="Times New Roman"/>
          <w:b/>
          <w:bCs/>
          <w:sz w:val="28"/>
          <w:szCs w:val="28"/>
          <w:highlight w:val="none"/>
        </w:rPr>
        <w:t>注</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非免费代理案件，</w:t>
      </w:r>
      <w:r>
        <w:rPr>
          <w:rFonts w:ascii="仿宋" w:hAnsi="仿宋" w:eastAsia="仿宋" w:cs="Times New Roman"/>
          <w:sz w:val="28"/>
          <w:szCs w:val="28"/>
          <w:highlight w:val="none"/>
        </w:rPr>
        <w:t>差旅费由乙方自行承担</w:t>
      </w:r>
    </w:p>
    <w:p w14:paraId="70F8F966">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第五条 双方权利义务</w:t>
      </w:r>
      <w:r>
        <w:rPr>
          <w:rFonts w:hint="eastAsia" w:ascii="MS Mincho" w:hAnsi="MS Mincho" w:eastAsia="MS Mincho" w:cs="MS Mincho"/>
          <w:b/>
          <w:bCs/>
          <w:sz w:val="28"/>
          <w:szCs w:val="28"/>
          <w:highlight w:val="none"/>
        </w:rPr>
        <w:t>​</w:t>
      </w:r>
    </w:p>
    <w:p w14:paraId="1A84B5F1">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hint="eastAsia" w:ascii="仿宋" w:hAnsi="仿宋" w:eastAsia="仿宋" w:cs="MS Mincho"/>
          <w:b/>
          <w:bCs/>
          <w:sz w:val="28"/>
          <w:szCs w:val="28"/>
          <w:highlight w:val="none"/>
        </w:rPr>
        <w:t>（一）</w:t>
      </w:r>
      <w:r>
        <w:rPr>
          <w:rFonts w:ascii="仿宋" w:hAnsi="仿宋" w:eastAsia="仿宋" w:cs="Times New Roman"/>
          <w:b/>
          <w:bCs/>
          <w:sz w:val="28"/>
          <w:szCs w:val="28"/>
          <w:highlight w:val="none"/>
        </w:rPr>
        <w:t>甲方义务</w:t>
      </w:r>
      <w:r>
        <w:rPr>
          <w:rFonts w:hint="eastAsia" w:ascii="MS Mincho" w:hAnsi="MS Mincho" w:eastAsia="MS Mincho" w:cs="MS Mincho"/>
          <w:b/>
          <w:bCs/>
          <w:sz w:val="28"/>
          <w:szCs w:val="28"/>
          <w:highlight w:val="none"/>
        </w:rPr>
        <w:t>​</w:t>
      </w:r>
    </w:p>
    <w:p w14:paraId="12736FF4">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w:t>
      </w:r>
      <w:r>
        <w:rPr>
          <w:rFonts w:ascii="仿宋" w:hAnsi="仿宋" w:eastAsia="仿宋" w:cs="Times New Roman"/>
          <w:sz w:val="28"/>
          <w:szCs w:val="28"/>
          <w:highlight w:val="none"/>
        </w:rPr>
        <w:t>提供必要文件及工作条件</w:t>
      </w:r>
      <w:r>
        <w:rPr>
          <w:rFonts w:hint="eastAsia" w:ascii="仿宋" w:hAnsi="仿宋" w:eastAsia="仿宋" w:cs="Times New Roman"/>
          <w:sz w:val="28"/>
          <w:szCs w:val="28"/>
          <w:highlight w:val="none"/>
        </w:rPr>
        <w:t>。甲方应向乙方如实提供乙方所需要的相关文件、资料及信息，并保证该文件、资料及信息均是真实完整、有效的。</w:t>
      </w:r>
    </w:p>
    <w:p w14:paraId="7044AA00">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2.乙方仅就本合同第一条约定的委托事项承担责任，并不就甲方的任何决策及非法律风险承担责任，乙方就第一条所述各项事宜涉及的法律问题提出书面意见和建议，甲方予以考虑，如甲方未接受乙方的书面意见和建议而实施任何行为所导致的法律后果和风险乙方不承担责任。</w:t>
      </w:r>
    </w:p>
    <w:p w14:paraId="153ABED5">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3.</w:t>
      </w:r>
      <w:r>
        <w:rPr>
          <w:rFonts w:ascii="仿宋" w:hAnsi="仿宋" w:eastAsia="仿宋" w:cs="Times New Roman"/>
          <w:sz w:val="28"/>
          <w:szCs w:val="28"/>
          <w:highlight w:val="none"/>
        </w:rPr>
        <w:t>按约支付费用</w:t>
      </w:r>
      <w:r>
        <w:rPr>
          <w:rFonts w:hint="eastAsia" w:ascii="仿宋" w:hAnsi="仿宋" w:eastAsia="仿宋" w:cs="Times New Roman"/>
          <w:sz w:val="28"/>
          <w:szCs w:val="28"/>
          <w:highlight w:val="none"/>
        </w:rPr>
        <w:t>。</w:t>
      </w:r>
    </w:p>
    <w:p w14:paraId="09B7BC89">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hint="eastAsia" w:ascii="仿宋" w:hAnsi="仿宋" w:eastAsia="仿宋" w:cs="MS Mincho"/>
          <w:b/>
          <w:bCs/>
          <w:sz w:val="28"/>
          <w:szCs w:val="28"/>
          <w:highlight w:val="none"/>
        </w:rPr>
        <w:t>（二）</w:t>
      </w:r>
      <w:r>
        <w:rPr>
          <w:rFonts w:ascii="仿宋" w:hAnsi="仿宋" w:eastAsia="仿宋" w:cs="Times New Roman"/>
          <w:b/>
          <w:bCs/>
          <w:sz w:val="28"/>
          <w:szCs w:val="28"/>
          <w:highlight w:val="none"/>
        </w:rPr>
        <w:t>乙方义务</w:t>
      </w:r>
      <w:r>
        <w:rPr>
          <w:rFonts w:hint="eastAsia" w:ascii="MS Mincho" w:hAnsi="MS Mincho" w:eastAsia="MS Mincho" w:cs="MS Mincho"/>
          <w:b/>
          <w:bCs/>
          <w:sz w:val="28"/>
          <w:szCs w:val="28"/>
          <w:highlight w:val="none"/>
        </w:rPr>
        <w:t>​</w:t>
      </w:r>
    </w:p>
    <w:p w14:paraId="68C88E5C">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w:t>
      </w:r>
      <w:r>
        <w:rPr>
          <w:rFonts w:ascii="仿宋" w:hAnsi="仿宋" w:eastAsia="仿宋" w:cs="Times New Roman"/>
          <w:sz w:val="28"/>
          <w:szCs w:val="28"/>
          <w:highlight w:val="none"/>
        </w:rPr>
        <w:t>确保服务团队稳定性（更换人员须提前15日书面申请）</w:t>
      </w:r>
      <w:r>
        <w:rPr>
          <w:rFonts w:hint="eastAsia" w:ascii="仿宋" w:hAnsi="仿宋" w:eastAsia="仿宋" w:cs="Times New Roman"/>
          <w:sz w:val="28"/>
          <w:szCs w:val="28"/>
          <w:highlight w:val="none"/>
        </w:rPr>
        <w:t>。</w:t>
      </w:r>
    </w:p>
    <w:p w14:paraId="6DB6DD91">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2.乙方承诺对上述法律服务内容按国内律师事务所通行标准要求，在保证高质量的前提下,在受委托的权限内勤勉、尽责尽职地为甲方提供法律服务。</w:t>
      </w:r>
    </w:p>
    <w:p w14:paraId="710A6145">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3.</w:t>
      </w:r>
      <w:r>
        <w:rPr>
          <w:rFonts w:ascii="仿宋" w:hAnsi="仿宋" w:eastAsia="仿宋" w:cs="Times New Roman"/>
          <w:sz w:val="28"/>
          <w:szCs w:val="28"/>
          <w:highlight w:val="none"/>
        </w:rPr>
        <w:t>所有服务成果知识产权归甲方所有</w:t>
      </w:r>
      <w:r>
        <w:rPr>
          <w:rFonts w:hint="eastAsia" w:ascii="仿宋" w:hAnsi="仿宋" w:eastAsia="仿宋" w:cs="Times New Roman"/>
          <w:sz w:val="28"/>
          <w:szCs w:val="28"/>
          <w:highlight w:val="none"/>
        </w:rPr>
        <w:t>。</w:t>
      </w:r>
    </w:p>
    <w:p w14:paraId="36428BF4">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4.</w:t>
      </w:r>
      <w:r>
        <w:rPr>
          <w:rFonts w:ascii="仿宋" w:hAnsi="仿宋" w:eastAsia="仿宋" w:cs="Times New Roman"/>
          <w:sz w:val="28"/>
          <w:szCs w:val="28"/>
          <w:highlight w:val="none"/>
        </w:rPr>
        <w:t>保密义务（保密期限至合同终止后5年）</w:t>
      </w:r>
      <w:r>
        <w:rPr>
          <w:rFonts w:hint="eastAsia" w:ascii="仿宋" w:hAnsi="仿宋" w:eastAsia="仿宋" w:cs="Times New Roman"/>
          <w:sz w:val="28"/>
          <w:szCs w:val="28"/>
          <w:highlight w:val="none"/>
        </w:rPr>
        <w:t>。</w:t>
      </w:r>
    </w:p>
    <w:p w14:paraId="3F84FE30">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第六条 违约责任</w:t>
      </w:r>
      <w:r>
        <w:rPr>
          <w:rFonts w:hint="eastAsia" w:ascii="MS Mincho" w:hAnsi="MS Mincho" w:eastAsia="MS Mincho" w:cs="MS Mincho"/>
          <w:b/>
          <w:bCs/>
          <w:sz w:val="28"/>
          <w:szCs w:val="28"/>
          <w:highlight w:val="none"/>
        </w:rPr>
        <w:t>​</w:t>
      </w:r>
    </w:p>
    <w:p w14:paraId="6C184270">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sz w:val="28"/>
          <w:szCs w:val="28"/>
          <w:highlight w:val="none"/>
        </w:rPr>
      </w:pPr>
      <w:r>
        <w:rPr>
          <w:rFonts w:hint="eastAsia" w:ascii="仿宋" w:hAnsi="仿宋" w:eastAsia="仿宋" w:cs="MS Mincho"/>
          <w:b/>
          <w:bCs/>
          <w:sz w:val="28"/>
          <w:szCs w:val="28"/>
          <w:highlight w:val="none"/>
          <w:lang w:eastAsia="zh-CN"/>
        </w:rPr>
        <w:t>（</w:t>
      </w:r>
      <w:r>
        <w:rPr>
          <w:rFonts w:hint="eastAsia" w:ascii="仿宋" w:hAnsi="仿宋" w:eastAsia="仿宋" w:cs="MS Mincho"/>
          <w:b/>
          <w:bCs/>
          <w:sz w:val="28"/>
          <w:szCs w:val="28"/>
          <w:highlight w:val="none"/>
        </w:rPr>
        <w:t>一）</w:t>
      </w:r>
      <w:r>
        <w:rPr>
          <w:rFonts w:ascii="仿宋" w:hAnsi="仿宋" w:eastAsia="仿宋" w:cs="Times New Roman"/>
          <w:b/>
          <w:bCs/>
          <w:sz w:val="28"/>
          <w:szCs w:val="28"/>
          <w:highlight w:val="none"/>
        </w:rPr>
        <w:t>乙方违约情形</w:t>
      </w:r>
      <w:r>
        <w:rPr>
          <w:rFonts w:hint="eastAsia" w:ascii="MS Mincho" w:hAnsi="MS Mincho" w:eastAsia="MS Mincho" w:cs="MS Mincho"/>
          <w:b/>
          <w:bCs/>
          <w:sz w:val="28"/>
          <w:szCs w:val="28"/>
          <w:highlight w:val="none"/>
        </w:rPr>
        <w:t>​</w:t>
      </w:r>
      <w:r>
        <w:rPr>
          <w:rFonts w:ascii="仿宋" w:hAnsi="仿宋" w:eastAsia="仿宋" w:cs="Times New Roman"/>
          <w:b/>
          <w:bCs/>
          <w:sz w:val="28"/>
          <w:szCs w:val="28"/>
          <w:highlight w:val="none"/>
        </w:rPr>
        <w:t>：</w:t>
      </w:r>
    </w:p>
    <w:p w14:paraId="79B9BC11">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w:t>
      </w:r>
      <w:r>
        <w:rPr>
          <w:rFonts w:ascii="仿宋" w:hAnsi="仿宋" w:eastAsia="仿宋" w:cs="Times New Roman"/>
          <w:sz w:val="28"/>
          <w:szCs w:val="28"/>
          <w:highlight w:val="none"/>
        </w:rPr>
        <w:t>未达服务响应时限（如文件审查超期、紧急事件未到现场）</w:t>
      </w:r>
    </w:p>
    <w:p w14:paraId="6570E244">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2.</w:t>
      </w:r>
      <w:r>
        <w:rPr>
          <w:rFonts w:ascii="仿宋" w:hAnsi="仿宋" w:eastAsia="仿宋" w:cs="Times New Roman"/>
          <w:sz w:val="28"/>
          <w:szCs w:val="28"/>
          <w:highlight w:val="none"/>
        </w:rPr>
        <w:t>未经同意更换团队成员</w:t>
      </w:r>
    </w:p>
    <w:p w14:paraId="2242CB85">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3.</w:t>
      </w:r>
      <w:r>
        <w:rPr>
          <w:rFonts w:ascii="仿宋" w:hAnsi="仿宋" w:eastAsia="仿宋" w:cs="Times New Roman"/>
          <w:sz w:val="28"/>
          <w:szCs w:val="28"/>
          <w:highlight w:val="none"/>
        </w:rPr>
        <w:t>重大过失导致甲方损失</w:t>
      </w:r>
    </w:p>
    <w:p w14:paraId="36A541EA">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MS Mincho" w:hAnsi="MS Mincho" w:eastAsia="MS Mincho" w:cs="MS Mincho"/>
          <w:sz w:val="28"/>
          <w:szCs w:val="28"/>
          <w:highlight w:val="none"/>
        </w:rPr>
        <w:t>​</w:t>
      </w:r>
      <w:r>
        <w:rPr>
          <w:rFonts w:ascii="仿宋" w:hAnsi="仿宋" w:eastAsia="仿宋" w:cs="Times New Roman"/>
          <w:b/>
          <w:bCs/>
          <w:sz w:val="28"/>
          <w:szCs w:val="28"/>
          <w:highlight w:val="none"/>
        </w:rPr>
        <w:t>违约金</w:t>
      </w:r>
      <w:r>
        <w:rPr>
          <w:rFonts w:hint="eastAsia" w:ascii="MS Mincho" w:hAnsi="MS Mincho" w:eastAsia="MS Mincho" w:cs="MS Mincho"/>
          <w:sz w:val="28"/>
          <w:szCs w:val="28"/>
          <w:highlight w:val="none"/>
        </w:rPr>
        <w:t>​</w:t>
      </w:r>
      <w:r>
        <w:rPr>
          <w:rFonts w:ascii="仿宋" w:hAnsi="仿宋" w:eastAsia="仿宋" w:cs="Times New Roman"/>
          <w:sz w:val="28"/>
          <w:szCs w:val="28"/>
          <w:highlight w:val="none"/>
        </w:rPr>
        <w:t>：扣减当期顾问费</w:t>
      </w:r>
      <w:r>
        <w:rPr>
          <w:rFonts w:hint="eastAsia" w:ascii="仿宋" w:hAnsi="仿宋" w:eastAsia="仿宋" w:cs="Times New Roman"/>
          <w:sz w:val="28"/>
          <w:szCs w:val="28"/>
          <w:highlight w:val="none"/>
        </w:rPr>
        <w:t>5</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/次</w:t>
      </w:r>
      <w:r>
        <w:rPr>
          <w:rFonts w:ascii="仿宋" w:hAnsi="仿宋" w:eastAsia="仿宋" w:cs="Times New Roman"/>
          <w:sz w:val="28"/>
          <w:szCs w:val="28"/>
          <w:highlight w:val="none"/>
        </w:rPr>
        <w:t>，造成损失的另计赔偿</w:t>
      </w:r>
    </w:p>
    <w:p w14:paraId="7CDE8778">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MS Mincho"/>
          <w:sz w:val="28"/>
          <w:szCs w:val="28"/>
          <w:highlight w:val="none"/>
        </w:rPr>
        <w:t>（二）</w:t>
      </w:r>
      <w:r>
        <w:rPr>
          <w:rFonts w:ascii="仿宋" w:hAnsi="仿宋" w:eastAsia="仿宋" w:cs="Times New Roman"/>
          <w:b/>
          <w:bCs/>
          <w:sz w:val="28"/>
          <w:szCs w:val="28"/>
          <w:highlight w:val="none"/>
        </w:rPr>
        <w:t>甲方违约</w:t>
      </w:r>
      <w:r>
        <w:rPr>
          <w:rFonts w:hint="eastAsia" w:ascii="MS Mincho" w:hAnsi="MS Mincho" w:eastAsia="MS Mincho" w:cs="MS Mincho"/>
          <w:b/>
          <w:bCs/>
          <w:sz w:val="28"/>
          <w:szCs w:val="28"/>
          <w:highlight w:val="none"/>
        </w:rPr>
        <w:t>​</w:t>
      </w:r>
      <w:r>
        <w:rPr>
          <w:rFonts w:ascii="仿宋" w:hAnsi="仿宋" w:eastAsia="仿宋" w:cs="Times New Roman"/>
          <w:b/>
          <w:bCs/>
          <w:sz w:val="28"/>
          <w:szCs w:val="28"/>
          <w:highlight w:val="none"/>
        </w:rPr>
        <w:t>：</w:t>
      </w:r>
      <w:r>
        <w:rPr>
          <w:rFonts w:ascii="仿宋" w:hAnsi="仿宋" w:eastAsia="仿宋" w:cs="Times New Roman"/>
          <w:sz w:val="28"/>
          <w:szCs w:val="28"/>
          <w:highlight w:val="none"/>
        </w:rPr>
        <w:t>逾期付款按每日0.06%支付滞纳金</w:t>
      </w:r>
    </w:p>
    <w:p w14:paraId="1B5F59E0">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第七条 合同终止</w:t>
      </w:r>
      <w:r>
        <w:rPr>
          <w:rFonts w:hint="eastAsia" w:ascii="MS Mincho" w:hAnsi="MS Mincho" w:eastAsia="MS Mincho" w:cs="MS Mincho"/>
          <w:b/>
          <w:bCs/>
          <w:sz w:val="28"/>
          <w:szCs w:val="28"/>
          <w:highlight w:val="none"/>
        </w:rPr>
        <w:t>​</w:t>
      </w:r>
    </w:p>
    <w:p w14:paraId="3407B9B3">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（一）</w:t>
      </w:r>
      <w:r>
        <w:rPr>
          <w:rFonts w:ascii="仿宋" w:hAnsi="仿宋" w:eastAsia="仿宋" w:cs="Times New Roman"/>
          <w:sz w:val="28"/>
          <w:szCs w:val="28"/>
          <w:highlight w:val="none"/>
        </w:rPr>
        <w:t>出现以下情形可解除</w:t>
      </w:r>
      <w:r>
        <w:rPr>
          <w:rFonts w:hint="eastAsia" w:ascii="仿宋" w:hAnsi="仿宋" w:eastAsia="仿宋" w:cs="Times New Roman"/>
          <w:sz w:val="28"/>
          <w:szCs w:val="28"/>
          <w:highlight w:val="none"/>
        </w:rPr>
        <w:t>本</w:t>
      </w:r>
      <w:r>
        <w:rPr>
          <w:rFonts w:ascii="仿宋" w:hAnsi="仿宋" w:eastAsia="仿宋" w:cs="Times New Roman"/>
          <w:sz w:val="28"/>
          <w:szCs w:val="28"/>
          <w:highlight w:val="none"/>
        </w:rPr>
        <w:t>合同：</w:t>
      </w:r>
    </w:p>
    <w:p w14:paraId="276BC8B1">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w:t>
      </w:r>
      <w:r>
        <w:rPr>
          <w:rFonts w:ascii="仿宋" w:hAnsi="仿宋" w:eastAsia="仿宋" w:cs="Times New Roman"/>
          <w:sz w:val="28"/>
          <w:szCs w:val="28"/>
          <w:highlight w:val="none"/>
        </w:rPr>
        <w:t>乙方丧失执业资格或重大违约</w:t>
      </w:r>
    </w:p>
    <w:p w14:paraId="6CFEFEC5">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2.</w:t>
      </w:r>
      <w:r>
        <w:rPr>
          <w:rFonts w:ascii="仿宋" w:hAnsi="仿宋" w:eastAsia="仿宋" w:cs="Times New Roman"/>
          <w:sz w:val="28"/>
          <w:szCs w:val="28"/>
          <w:highlight w:val="none"/>
        </w:rPr>
        <w:t>甲方</w:t>
      </w:r>
      <w:r>
        <w:rPr>
          <w:rFonts w:hint="eastAsia" w:ascii="仿宋" w:hAnsi="仿宋" w:eastAsia="仿宋" w:cs="Times New Roman"/>
          <w:sz w:val="28"/>
          <w:szCs w:val="28"/>
          <w:highlight w:val="none"/>
        </w:rPr>
        <w:t>组织的</w:t>
      </w:r>
      <w:r>
        <w:rPr>
          <w:rFonts w:ascii="仿宋" w:hAnsi="仿宋" w:eastAsia="仿宋" w:cs="Times New Roman"/>
          <w:sz w:val="28"/>
          <w:szCs w:val="28"/>
          <w:highlight w:val="none"/>
        </w:rPr>
        <w:t>年度考核不合格</w:t>
      </w:r>
    </w:p>
    <w:p w14:paraId="0D80CEEB">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3.</w:t>
      </w:r>
      <w:r>
        <w:rPr>
          <w:rFonts w:ascii="仿宋" w:hAnsi="仿宋" w:eastAsia="仿宋" w:cs="Times New Roman"/>
          <w:sz w:val="28"/>
          <w:szCs w:val="28"/>
          <w:highlight w:val="none"/>
        </w:rPr>
        <w:t>双方协商一致</w:t>
      </w:r>
    </w:p>
    <w:p w14:paraId="218ED0E2">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（二）合同因乙方原因解除的，预收的法律顾问费应予退还。</w:t>
      </w:r>
    </w:p>
    <w:p w14:paraId="69E02E77">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p>
    <w:p w14:paraId="177BE996">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ascii="仿宋" w:hAnsi="仿宋" w:eastAsia="仿宋" w:cs="Times New Roman"/>
          <w:b/>
          <w:bCs/>
          <w:sz w:val="28"/>
          <w:szCs w:val="28"/>
          <w:highlight w:val="none"/>
        </w:rPr>
        <w:t>第</w:t>
      </w:r>
      <w:r>
        <w:rPr>
          <w:rFonts w:hint="eastAsia" w:ascii="仿宋" w:hAnsi="仿宋" w:eastAsia="仿宋" w:cs="Times New Roman"/>
          <w:b/>
          <w:bCs/>
          <w:sz w:val="28"/>
          <w:szCs w:val="28"/>
          <w:highlight w:val="none"/>
        </w:rPr>
        <w:t>八</w:t>
      </w:r>
      <w:r>
        <w:rPr>
          <w:rFonts w:ascii="仿宋" w:hAnsi="仿宋" w:eastAsia="仿宋" w:cs="Times New Roman"/>
          <w:b/>
          <w:bCs/>
          <w:sz w:val="28"/>
          <w:szCs w:val="28"/>
          <w:highlight w:val="none"/>
        </w:rPr>
        <w:t>条 合同</w:t>
      </w:r>
      <w:r>
        <w:rPr>
          <w:rFonts w:hint="eastAsia" w:ascii="仿宋" w:hAnsi="仿宋" w:eastAsia="仿宋" w:cs="Times New Roman"/>
          <w:b/>
          <w:bCs/>
          <w:sz w:val="28"/>
          <w:szCs w:val="28"/>
          <w:highlight w:val="none"/>
        </w:rPr>
        <w:t>附则</w:t>
      </w:r>
      <w:r>
        <w:rPr>
          <w:rFonts w:hint="eastAsia" w:ascii="MS Mincho" w:hAnsi="MS Mincho" w:eastAsia="MS Mincho" w:cs="MS Mincho"/>
          <w:b/>
          <w:bCs/>
          <w:sz w:val="28"/>
          <w:szCs w:val="28"/>
          <w:highlight w:val="none"/>
        </w:rPr>
        <w:t>​</w:t>
      </w:r>
    </w:p>
    <w:p w14:paraId="07BCF045">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1.本合同壹式贰份，甲乙双方各持壹份，经双方签字盖章后生效。</w:t>
      </w:r>
    </w:p>
    <w:p w14:paraId="25EA24FC">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 xml:space="preserve">2.本合同与下列文件一起构成合同文件：（1）中标通知书；（2）招标文件；（3）投标文件。 </w:t>
      </w:r>
    </w:p>
    <w:p w14:paraId="5F8DF7B1">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ascii="仿宋" w:hAnsi="仿宋" w:eastAsia="仿宋" w:cs="Times New Roman"/>
          <w:sz w:val="28"/>
          <w:szCs w:val="28"/>
          <w:highlight w:val="none"/>
        </w:rPr>
      </w:pPr>
      <w:r>
        <w:rPr>
          <w:rFonts w:hint="eastAsia" w:ascii="仿宋" w:hAnsi="仿宋" w:eastAsia="仿宋" w:cs="Times New Roman"/>
          <w:sz w:val="28"/>
          <w:szCs w:val="28"/>
          <w:highlight w:val="none"/>
        </w:rPr>
        <w:t>3.上述合同文件互相补充和解释。如果合同文件之间存在矛盾或不一致之处，以上述文件的排列顺序在先者为准。</w:t>
      </w:r>
    </w:p>
    <w:p w14:paraId="4BB4C2F8">
      <w:pPr>
        <w:keepNext w:val="0"/>
        <w:keepLines w:val="0"/>
        <w:pageBreakBefore w:val="0"/>
        <w:widowControl w:val="0"/>
        <w:shd w:val="clea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4.</w:t>
      </w:r>
      <w:r>
        <w:rPr>
          <w:rFonts w:hint="eastAsia"/>
          <w:sz w:val="28"/>
          <w:szCs w:val="28"/>
          <w:highlight w:val="none"/>
        </w:rPr>
        <w:t xml:space="preserve"> </w:t>
      </w:r>
      <w:r>
        <w:rPr>
          <w:rFonts w:hint="eastAsia" w:ascii="仿宋" w:hAnsi="仿宋" w:eastAsia="仿宋" w:cs="Times New Roman"/>
          <w:sz w:val="28"/>
          <w:szCs w:val="28"/>
          <w:highlight w:val="none"/>
        </w:rPr>
        <w:t>本合同未尽事宜，甲、乙双方应另行协商并签订补充协议。凡因本合同引起的或与本合同有关的任何争议，由双方友好协商解决。协商不成时，双方均有权向甲方住所地有管辖权的人民法院提起诉讼。</w:t>
      </w:r>
    </w:p>
    <w:p w14:paraId="646431C4">
      <w:pPr>
        <w:keepNext w:val="0"/>
        <w:keepLines w:val="0"/>
        <w:pageBreakBefore w:val="0"/>
        <w:widowControl w:val="0"/>
        <w:shd w:val="clear"/>
        <w:kinsoku/>
        <w:wordWrap/>
        <w:overflowPunct/>
        <w:topLinePunct w:val="0"/>
        <w:autoSpaceDE/>
        <w:autoSpaceDN/>
        <w:bidi w:val="0"/>
        <w:adjustRightInd/>
        <w:snapToGrid/>
        <w:spacing w:after="0" w:line="500" w:lineRule="exact"/>
        <w:ind w:firstLine="562" w:firstLineChars="200"/>
        <w:jc w:val="both"/>
        <w:textAlignment w:val="auto"/>
        <w:rPr>
          <w:rFonts w:hint="eastAsia" w:ascii="仿宋" w:hAnsi="仿宋" w:eastAsia="仿宋" w:cs="Times New Roman"/>
          <w:b/>
          <w:bCs/>
          <w:sz w:val="28"/>
          <w:szCs w:val="28"/>
          <w:highlight w:val="none"/>
        </w:rPr>
      </w:pPr>
      <w:r>
        <w:rPr>
          <w:rFonts w:hint="eastAsia" w:ascii="仿宋" w:hAnsi="仿宋" w:eastAsia="仿宋" w:cs="Times New Roman"/>
          <w:b/>
          <w:bCs/>
          <w:sz w:val="28"/>
          <w:szCs w:val="28"/>
          <w:highlight w:val="none"/>
        </w:rPr>
        <w:t>（以下无正文）</w:t>
      </w:r>
    </w:p>
    <w:p w14:paraId="7ADA9451">
      <w:pPr>
        <w:spacing w:after="0" w:line="480" w:lineRule="exact"/>
        <w:jc w:val="both"/>
        <w:rPr>
          <w:rFonts w:hint="eastAsia" w:ascii="仿宋" w:hAnsi="仿宋" w:eastAsia="仿宋" w:cs="Times New Roman"/>
          <w:b/>
          <w:bCs/>
          <w:sz w:val="32"/>
          <w:szCs w:val="32"/>
          <w:highlight w:val="none"/>
        </w:rPr>
      </w:pPr>
    </w:p>
    <w:p w14:paraId="6E9A45D3">
      <w:pPr>
        <w:spacing w:after="0" w:line="480" w:lineRule="exact"/>
        <w:jc w:val="both"/>
        <w:rPr>
          <w:rFonts w:hint="eastAsia" w:ascii="仿宋" w:hAnsi="仿宋" w:eastAsia="仿宋" w:cs="Times New Roman"/>
          <w:b/>
          <w:bCs/>
          <w:sz w:val="32"/>
          <w:szCs w:val="32"/>
          <w:highlight w:val="none"/>
        </w:rPr>
      </w:pPr>
    </w:p>
    <w:p w14:paraId="64A3CD06">
      <w:pPr>
        <w:spacing w:after="0" w:line="480" w:lineRule="exact"/>
        <w:jc w:val="both"/>
        <w:rPr>
          <w:rFonts w:hint="eastAsia" w:ascii="仿宋" w:hAnsi="仿宋" w:eastAsia="仿宋" w:cs="Times New Roman"/>
          <w:sz w:val="32"/>
          <w:szCs w:val="32"/>
          <w:highlight w:val="none"/>
        </w:rPr>
      </w:pPr>
      <w:r>
        <w:rPr>
          <w:rFonts w:ascii="仿宋" w:hAnsi="仿宋" w:eastAsia="仿宋" w:cs="Times New Roman"/>
          <w:b/>
          <w:bCs/>
          <w:sz w:val="32"/>
          <w:szCs w:val="32"/>
          <w:highlight w:val="none"/>
        </w:rPr>
        <w:t>甲方（盖章）：</w:t>
      </w:r>
      <w:r>
        <w:rPr>
          <w:rFonts w:ascii="仿宋" w:hAnsi="仿宋" w:eastAsia="仿宋" w:cs="Times New Roman"/>
          <w:sz w:val="32"/>
          <w:szCs w:val="32"/>
          <w:highlight w:val="none"/>
        </w:rPr>
        <w:t>__________</w:t>
      </w:r>
      <w:r>
        <w:rPr>
          <w:rFonts w:hint="eastAsia" w:ascii="仿宋" w:hAnsi="仿宋" w:eastAsia="仿宋" w:cs="Times New Roman"/>
          <w:sz w:val="32"/>
          <w:szCs w:val="32"/>
          <w:highlight w:val="none"/>
          <w:lang w:val="en-US" w:eastAsia="zh-CN"/>
        </w:rPr>
        <w:t xml:space="preserve"> </w:t>
      </w:r>
      <w:r>
        <w:rPr>
          <w:rFonts w:ascii="仿宋" w:hAnsi="仿宋" w:eastAsia="仿宋" w:cs="Times New Roman"/>
          <w:b/>
          <w:bCs/>
          <w:sz w:val="32"/>
          <w:szCs w:val="32"/>
          <w:highlight w:val="none"/>
        </w:rPr>
        <w:t>乙方（盖章）：</w:t>
      </w:r>
      <w:r>
        <w:rPr>
          <w:rFonts w:ascii="仿宋" w:hAnsi="仿宋" w:eastAsia="仿宋" w:cs="Times New Roman"/>
          <w:sz w:val="32"/>
          <w:szCs w:val="32"/>
          <w:highlight w:val="none"/>
        </w:rPr>
        <w:t>____________</w:t>
      </w:r>
    </w:p>
    <w:p w14:paraId="54FA9C23">
      <w:pPr>
        <w:spacing w:after="0" w:line="480" w:lineRule="exact"/>
        <w:jc w:val="both"/>
        <w:rPr>
          <w:rFonts w:hint="eastAsia" w:ascii="仿宋" w:hAnsi="仿宋" w:eastAsia="仿宋" w:cs="Times New Roman"/>
          <w:sz w:val="32"/>
          <w:szCs w:val="32"/>
          <w:highlight w:val="none"/>
        </w:rPr>
      </w:pPr>
    </w:p>
    <w:p w14:paraId="0E9C1090">
      <w:pPr>
        <w:spacing w:after="0" w:line="480" w:lineRule="exact"/>
        <w:jc w:val="both"/>
        <w:rPr>
          <w:rFonts w:ascii="仿宋" w:hAnsi="仿宋" w:eastAsia="仿宋" w:cs="Times New Roman"/>
          <w:b/>
          <w:bCs/>
          <w:sz w:val="32"/>
          <w:szCs w:val="32"/>
          <w:highlight w:val="none"/>
        </w:rPr>
      </w:pPr>
      <w:r>
        <w:rPr>
          <w:rFonts w:ascii="仿宋" w:hAnsi="仿宋" w:eastAsia="仿宋" w:cs="Times New Roman"/>
          <w:b/>
          <w:bCs/>
          <w:sz w:val="32"/>
          <w:szCs w:val="32"/>
          <w:highlight w:val="none"/>
        </w:rPr>
        <w:t>法定代表人</w:t>
      </w:r>
      <w:r>
        <w:rPr>
          <w:rFonts w:hint="eastAsia" w:ascii="仿宋" w:hAnsi="仿宋" w:eastAsia="仿宋" w:cs="Times New Roman"/>
          <w:b/>
          <w:bCs/>
          <w:sz w:val="32"/>
          <w:szCs w:val="32"/>
          <w:highlight w:val="none"/>
        </w:rPr>
        <w:t xml:space="preserve">                 </w:t>
      </w:r>
      <w:r>
        <w:rPr>
          <w:rFonts w:ascii="仿宋" w:hAnsi="仿宋" w:eastAsia="仿宋" w:cs="Times New Roman"/>
          <w:b/>
          <w:bCs/>
          <w:sz w:val="32"/>
          <w:szCs w:val="32"/>
          <w:highlight w:val="none"/>
        </w:rPr>
        <w:t>法定代表人</w:t>
      </w:r>
    </w:p>
    <w:p w14:paraId="78DF94EA">
      <w:pPr>
        <w:spacing w:after="0" w:line="480" w:lineRule="exact"/>
        <w:jc w:val="both"/>
        <w:rPr>
          <w:rFonts w:hint="eastAsia" w:ascii="仿宋" w:hAnsi="仿宋" w:eastAsia="仿宋" w:cs="Times New Roman"/>
          <w:sz w:val="32"/>
          <w:szCs w:val="32"/>
          <w:highlight w:val="none"/>
        </w:rPr>
      </w:pPr>
      <w:r>
        <w:rPr>
          <w:rFonts w:hint="eastAsia" w:ascii="仿宋" w:hAnsi="仿宋" w:eastAsia="仿宋" w:cs="Times New Roman"/>
          <w:b/>
          <w:bCs/>
          <w:sz w:val="32"/>
          <w:szCs w:val="32"/>
          <w:highlight w:val="none"/>
        </w:rPr>
        <w:t>或授权代表</w:t>
      </w:r>
      <w:r>
        <w:rPr>
          <w:rFonts w:ascii="仿宋" w:hAnsi="仿宋" w:eastAsia="仿宋" w:cs="Times New Roman"/>
          <w:b/>
          <w:bCs/>
          <w:sz w:val="32"/>
          <w:szCs w:val="32"/>
          <w:highlight w:val="none"/>
        </w:rPr>
        <w:t>签字：</w:t>
      </w:r>
      <w:r>
        <w:rPr>
          <w:rFonts w:ascii="仿宋" w:hAnsi="仿宋" w:eastAsia="仿宋" w:cs="Times New Roman"/>
          <w:sz w:val="32"/>
          <w:szCs w:val="32"/>
          <w:highlight w:val="none"/>
        </w:rPr>
        <w:t>______</w:t>
      </w:r>
      <w:r>
        <w:rPr>
          <w:rFonts w:hint="eastAsia" w:ascii="仿宋" w:hAnsi="仿宋" w:eastAsia="仿宋" w:cs="Times New Roman"/>
          <w:sz w:val="32"/>
          <w:szCs w:val="32"/>
          <w:highlight w:val="none"/>
          <w:lang w:val="en-US" w:eastAsia="zh-CN"/>
        </w:rPr>
        <w:t xml:space="preserve">    </w:t>
      </w:r>
      <w:r>
        <w:rPr>
          <w:rFonts w:hint="eastAsia" w:ascii="仿宋" w:hAnsi="仿宋" w:eastAsia="仿宋" w:cs="Times New Roman"/>
          <w:b/>
          <w:bCs/>
          <w:sz w:val="32"/>
          <w:szCs w:val="32"/>
          <w:highlight w:val="none"/>
        </w:rPr>
        <w:t>或授权代表</w:t>
      </w:r>
      <w:r>
        <w:rPr>
          <w:rFonts w:ascii="仿宋" w:hAnsi="仿宋" w:eastAsia="仿宋" w:cs="Times New Roman"/>
          <w:b/>
          <w:bCs/>
          <w:sz w:val="32"/>
          <w:szCs w:val="32"/>
          <w:highlight w:val="none"/>
        </w:rPr>
        <w:t>签字：</w:t>
      </w:r>
      <w:r>
        <w:rPr>
          <w:rFonts w:hint="eastAsia" w:ascii="MS Mincho" w:hAnsi="MS Mincho" w:eastAsia="MS Mincho" w:cs="MS Mincho"/>
          <w:b/>
          <w:bCs/>
          <w:sz w:val="32"/>
          <w:szCs w:val="32"/>
          <w:highlight w:val="none"/>
        </w:rPr>
        <w:t>​</w:t>
      </w:r>
      <w:r>
        <w:rPr>
          <w:rFonts w:ascii="仿宋" w:hAnsi="仿宋" w:eastAsia="仿宋" w:cs="Times New Roman"/>
          <w:sz w:val="32"/>
          <w:szCs w:val="32"/>
          <w:highlight w:val="none"/>
        </w:rPr>
        <w:t>_________</w:t>
      </w:r>
    </w:p>
    <w:p w14:paraId="6BF13663">
      <w:pPr>
        <w:pStyle w:val="3"/>
        <w:pageBreakBefore w:val="0"/>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291BAA1">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D7B5A6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396D002">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86063DC">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C6D735A">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3D2C3055">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47AD2DD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8A8447F">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B3C8260">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616360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C80D0E2">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EA5ACD9">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06A76CBE">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33D9D2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br w:type="page"/>
      </w:r>
    </w:p>
    <w:bookmarkEnd w:id="44"/>
    <w:p w14:paraId="26820FA4">
      <w:pPr>
        <w:spacing w:line="360" w:lineRule="auto"/>
        <w:jc w:val="center"/>
        <w:outlineLvl w:val="0"/>
        <w:rPr>
          <w:rFonts w:ascii="宋体" w:hAnsi="宋体" w:eastAsia="宋体"/>
          <w:b/>
          <w:color w:val="auto"/>
          <w:sz w:val="28"/>
          <w:highlight w:val="none"/>
        </w:rPr>
      </w:pPr>
      <w:bookmarkStart w:id="45" w:name="_Toc22492"/>
      <w:r>
        <w:rPr>
          <w:rFonts w:hint="eastAsia" w:ascii="宋体" w:hAnsi="宋体" w:eastAsia="宋体"/>
          <w:b/>
          <w:color w:val="auto"/>
          <w:sz w:val="28"/>
          <w:highlight w:val="none"/>
        </w:rPr>
        <w:t>第六章  投标文件格式</w:t>
      </w:r>
      <w:bookmarkEnd w:id="45"/>
    </w:p>
    <w:p w14:paraId="6F01D733">
      <w:pPr>
        <w:spacing w:line="900" w:lineRule="exact"/>
        <w:jc w:val="center"/>
        <w:rPr>
          <w:rFonts w:ascii="宋体" w:hAnsi="宋体" w:eastAsia="宋体"/>
          <w:b/>
          <w:color w:val="auto"/>
          <w:sz w:val="72"/>
          <w:highlight w:val="none"/>
        </w:rPr>
      </w:pPr>
    </w:p>
    <w:p w14:paraId="38543885">
      <w:pPr>
        <w:spacing w:line="900" w:lineRule="exact"/>
        <w:jc w:val="center"/>
        <w:outlineLvl w:val="1"/>
        <w:rPr>
          <w:rFonts w:ascii="宋体" w:hAnsi="宋体" w:eastAsia="宋体"/>
          <w:b/>
          <w:color w:val="auto"/>
          <w:sz w:val="72"/>
          <w:highlight w:val="none"/>
        </w:rPr>
      </w:pPr>
      <w:bookmarkStart w:id="46" w:name="_Toc651"/>
      <w:r>
        <w:rPr>
          <w:rFonts w:hint="eastAsia" w:ascii="宋体" w:hAnsi="宋体" w:eastAsia="宋体"/>
          <w:b/>
          <w:color w:val="auto"/>
          <w:sz w:val="72"/>
          <w:highlight w:val="none"/>
        </w:rPr>
        <w:t>投</w:t>
      </w:r>
      <w:bookmarkEnd w:id="46"/>
    </w:p>
    <w:p w14:paraId="556CBF89">
      <w:pPr>
        <w:spacing w:line="900" w:lineRule="exact"/>
        <w:jc w:val="center"/>
        <w:rPr>
          <w:rFonts w:ascii="宋体" w:hAnsi="宋体" w:eastAsia="宋体"/>
          <w:b/>
          <w:color w:val="auto"/>
          <w:sz w:val="72"/>
          <w:highlight w:val="none"/>
        </w:rPr>
      </w:pPr>
    </w:p>
    <w:p w14:paraId="7B32B97A">
      <w:pPr>
        <w:spacing w:line="900" w:lineRule="exact"/>
        <w:jc w:val="center"/>
        <w:outlineLvl w:val="1"/>
        <w:rPr>
          <w:rFonts w:ascii="宋体" w:hAnsi="宋体" w:eastAsia="宋体"/>
          <w:b/>
          <w:color w:val="auto"/>
          <w:sz w:val="72"/>
          <w:highlight w:val="none"/>
        </w:rPr>
      </w:pPr>
      <w:bookmarkStart w:id="47" w:name="_Toc6148"/>
      <w:r>
        <w:rPr>
          <w:rFonts w:hint="eastAsia" w:ascii="宋体" w:hAnsi="宋体" w:eastAsia="宋体"/>
          <w:b/>
          <w:color w:val="auto"/>
          <w:sz w:val="72"/>
          <w:highlight w:val="none"/>
        </w:rPr>
        <w:t>标</w:t>
      </w:r>
      <w:bookmarkEnd w:id="47"/>
    </w:p>
    <w:p w14:paraId="1FDDE5F7">
      <w:pPr>
        <w:spacing w:line="900" w:lineRule="exact"/>
        <w:jc w:val="center"/>
        <w:rPr>
          <w:rFonts w:ascii="宋体" w:hAnsi="宋体" w:eastAsia="宋体"/>
          <w:b/>
          <w:color w:val="auto"/>
          <w:sz w:val="72"/>
          <w:highlight w:val="none"/>
        </w:rPr>
      </w:pPr>
    </w:p>
    <w:p w14:paraId="5B42200E">
      <w:pPr>
        <w:spacing w:line="900" w:lineRule="exact"/>
        <w:jc w:val="center"/>
        <w:outlineLvl w:val="1"/>
        <w:rPr>
          <w:rFonts w:ascii="宋体" w:hAnsi="宋体" w:eastAsia="宋体"/>
          <w:b/>
          <w:color w:val="auto"/>
          <w:sz w:val="72"/>
          <w:highlight w:val="none"/>
        </w:rPr>
      </w:pPr>
      <w:bookmarkStart w:id="48" w:name="_Toc1338"/>
      <w:r>
        <w:rPr>
          <w:rFonts w:hint="eastAsia" w:ascii="宋体" w:hAnsi="宋体" w:eastAsia="宋体"/>
          <w:b/>
          <w:color w:val="auto"/>
          <w:sz w:val="72"/>
          <w:highlight w:val="none"/>
        </w:rPr>
        <w:t>文</w:t>
      </w:r>
      <w:bookmarkEnd w:id="48"/>
    </w:p>
    <w:p w14:paraId="0FB205A1">
      <w:pPr>
        <w:spacing w:line="900" w:lineRule="exact"/>
        <w:jc w:val="center"/>
        <w:rPr>
          <w:rFonts w:ascii="宋体" w:hAnsi="宋体" w:eastAsia="宋体"/>
          <w:b/>
          <w:color w:val="auto"/>
          <w:sz w:val="72"/>
          <w:highlight w:val="none"/>
        </w:rPr>
      </w:pPr>
    </w:p>
    <w:p w14:paraId="6F4188FE">
      <w:pPr>
        <w:jc w:val="center"/>
        <w:outlineLvl w:val="1"/>
        <w:rPr>
          <w:rFonts w:ascii="宋体" w:hAnsi="宋体" w:eastAsia="宋体"/>
          <w:b/>
          <w:color w:val="auto"/>
          <w:sz w:val="72"/>
          <w:highlight w:val="none"/>
        </w:rPr>
      </w:pPr>
      <w:bookmarkStart w:id="49" w:name="_Toc10796"/>
      <w:r>
        <w:rPr>
          <w:rFonts w:hint="eastAsia" w:ascii="宋体" w:hAnsi="宋体" w:eastAsia="宋体"/>
          <w:b/>
          <w:color w:val="auto"/>
          <w:sz w:val="72"/>
          <w:highlight w:val="none"/>
        </w:rPr>
        <w:t>件</w:t>
      </w:r>
      <w:bookmarkEnd w:id="49"/>
    </w:p>
    <w:p w14:paraId="7C5BE7EA">
      <w:pP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资信证明文件（一）</w:t>
      </w:r>
    </w:p>
    <w:p w14:paraId="7F796F65">
      <w:pPr>
        <w:spacing w:after="156" w:afterLines="50" w:line="500" w:lineRule="exact"/>
        <w:jc w:val="center"/>
        <w:rPr>
          <w:rFonts w:ascii="宋体" w:hAnsi="宋体" w:eastAsia="宋体"/>
          <w:b/>
          <w:color w:val="auto"/>
          <w:sz w:val="28"/>
          <w:szCs w:val="28"/>
          <w:highlight w:val="none"/>
        </w:rPr>
      </w:pPr>
    </w:p>
    <w:p w14:paraId="57A235CF">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362BDD6C">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510C159">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2D23044C">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50" w:name="_Toc8037"/>
      <w:bookmarkStart w:id="51" w:name="_Toc9994"/>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50"/>
      <w:bookmarkEnd w:id="51"/>
    </w:p>
    <w:p w14:paraId="7EB7087D">
      <w:pPr>
        <w:widowControl/>
        <w:jc w:val="left"/>
        <w:rPr>
          <w:rFonts w:ascii="宋体" w:hAnsi="宋体" w:eastAsia="宋体"/>
          <w:b/>
          <w:color w:val="auto"/>
          <w:sz w:val="28"/>
          <w:highlight w:val="none"/>
        </w:rPr>
      </w:pPr>
      <w:r>
        <w:rPr>
          <w:rFonts w:ascii="宋体" w:hAnsi="宋体" w:eastAsia="宋体"/>
          <w:b/>
          <w:color w:val="auto"/>
          <w:sz w:val="28"/>
          <w:highlight w:val="none"/>
        </w:rPr>
        <w:br w:type="page"/>
      </w:r>
    </w:p>
    <w:p w14:paraId="6072E310">
      <w:pPr>
        <w:widowControl/>
        <w:jc w:val="center"/>
        <w:rPr>
          <w:rFonts w:hint="eastAsia" w:ascii="宋体" w:hAnsi="宋体" w:eastAsia="宋体"/>
          <w:b/>
          <w:color w:val="auto"/>
          <w:sz w:val="28"/>
          <w:highlight w:val="none"/>
          <w:lang w:val="en-US" w:eastAsia="zh-CN"/>
        </w:rPr>
      </w:pPr>
      <w:r>
        <w:rPr>
          <w:rFonts w:hint="eastAsia" w:ascii="宋体" w:hAnsi="宋体" w:eastAsia="宋体"/>
          <w:b/>
          <w:color w:val="auto"/>
          <w:sz w:val="28"/>
          <w:highlight w:val="none"/>
          <w:lang w:val="en-US" w:eastAsia="zh-CN"/>
        </w:rPr>
        <w:t>目录</w:t>
      </w:r>
    </w:p>
    <w:p w14:paraId="38D8362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（1）法定代表人身份证明文件及其有效身份证（或法人代表授权委托书及其有效身份证）；（格式见附件）</w:t>
      </w:r>
    </w:p>
    <w:p w14:paraId="5D88E626">
      <w:pPr>
        <w:spacing w:line="360" w:lineRule="auto"/>
        <w:ind w:firstLine="435"/>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（2）供应商须具有有效的营业执照、税务登记证、组织机构代码证（或三证合一的证书）；</w:t>
      </w:r>
    </w:p>
    <w:p w14:paraId="4AF0FFF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（3）供应商资格声明书（格式见附件）</w:t>
      </w:r>
    </w:p>
    <w:p w14:paraId="50783036">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诚信履约承诺函</w:t>
      </w:r>
      <w:r>
        <w:rPr>
          <w:rFonts w:hint="eastAsia" w:ascii="宋体" w:hAnsi="宋体" w:eastAsia="宋体" w:cs="宋体"/>
          <w:color w:val="auto"/>
          <w:sz w:val="24"/>
          <w:highlight w:val="none"/>
          <w:lang w:val="en-US" w:eastAsia="zh-CN"/>
        </w:rPr>
        <w:t>（格式见附件）</w:t>
      </w:r>
    </w:p>
    <w:p w14:paraId="769950CD">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（5）投标人认为需要提供的其他评审及证明材料</w:t>
      </w:r>
    </w:p>
    <w:p w14:paraId="7FBBA626">
      <w:pPr>
        <w:spacing w:line="360" w:lineRule="auto"/>
        <w:ind w:firstLine="435"/>
        <w:rPr>
          <w:rFonts w:hint="eastAsia" w:ascii="宋体" w:hAnsi="宋体" w:eastAsia="宋体" w:cs="宋体"/>
          <w:color w:val="auto"/>
          <w:sz w:val="24"/>
          <w:highlight w:val="none"/>
          <w:lang w:val="en-US" w:eastAsia="zh-CN"/>
        </w:rPr>
      </w:pPr>
    </w:p>
    <w:p w14:paraId="43242718">
      <w:pPr>
        <w:spacing w:line="360" w:lineRule="auto"/>
        <w:ind w:firstLine="435"/>
        <w:rPr>
          <w:rFonts w:hint="eastAsia" w:ascii="宋体" w:hAnsi="宋体" w:eastAsia="宋体" w:cs="宋体"/>
          <w:color w:val="auto"/>
          <w:sz w:val="24"/>
          <w:highlight w:val="none"/>
          <w:lang w:val="en-US" w:eastAsia="zh-CN"/>
        </w:rPr>
      </w:pPr>
    </w:p>
    <w:p w14:paraId="5A5AF1F6">
      <w:pPr>
        <w:spacing w:line="360" w:lineRule="auto"/>
        <w:ind w:firstLine="435"/>
        <w:rPr>
          <w:rFonts w:hint="eastAsia" w:ascii="宋体" w:hAnsi="宋体" w:eastAsia="宋体" w:cs="宋体"/>
          <w:color w:val="auto"/>
          <w:sz w:val="24"/>
          <w:highlight w:val="none"/>
          <w:lang w:val="en-US" w:eastAsia="zh-CN"/>
        </w:rPr>
      </w:pPr>
    </w:p>
    <w:p w14:paraId="18962569">
      <w:pPr>
        <w:spacing w:line="360" w:lineRule="auto"/>
        <w:ind w:firstLine="435"/>
        <w:rPr>
          <w:rFonts w:hint="eastAsia" w:ascii="宋体" w:hAnsi="宋体" w:eastAsia="宋体" w:cs="宋体"/>
          <w:color w:val="auto"/>
          <w:sz w:val="24"/>
          <w:highlight w:val="none"/>
          <w:lang w:val="en-US" w:eastAsia="zh-CN"/>
        </w:rPr>
      </w:pPr>
    </w:p>
    <w:p w14:paraId="52E790FC">
      <w:pPr>
        <w:spacing w:line="360" w:lineRule="auto"/>
        <w:ind w:firstLine="435"/>
        <w:rPr>
          <w:rFonts w:hint="eastAsia" w:ascii="宋体" w:hAnsi="宋体" w:eastAsia="宋体" w:cs="宋体"/>
          <w:color w:val="auto"/>
          <w:sz w:val="24"/>
          <w:highlight w:val="none"/>
          <w:lang w:val="en-US" w:eastAsia="zh-CN"/>
        </w:rPr>
      </w:pPr>
    </w:p>
    <w:p w14:paraId="743DE764">
      <w:pPr>
        <w:spacing w:line="360" w:lineRule="auto"/>
        <w:ind w:firstLine="435"/>
        <w:rPr>
          <w:rFonts w:hint="eastAsia" w:ascii="宋体" w:hAnsi="宋体" w:eastAsia="宋体" w:cs="宋体"/>
          <w:color w:val="auto"/>
          <w:sz w:val="24"/>
          <w:highlight w:val="none"/>
          <w:lang w:val="en-US" w:eastAsia="zh-CN"/>
        </w:rPr>
      </w:pPr>
    </w:p>
    <w:p w14:paraId="7347BE39">
      <w:pPr>
        <w:spacing w:line="360" w:lineRule="auto"/>
        <w:ind w:firstLine="435"/>
        <w:rPr>
          <w:rFonts w:hint="eastAsia" w:ascii="宋体" w:hAnsi="宋体" w:eastAsia="宋体" w:cs="宋体"/>
          <w:color w:val="auto"/>
          <w:sz w:val="24"/>
          <w:highlight w:val="none"/>
          <w:lang w:val="en-US" w:eastAsia="zh-CN"/>
        </w:rPr>
      </w:pPr>
    </w:p>
    <w:p w14:paraId="4B80581D">
      <w:pPr>
        <w:spacing w:line="360" w:lineRule="auto"/>
        <w:ind w:firstLine="435"/>
        <w:rPr>
          <w:rFonts w:hint="eastAsia" w:ascii="宋体" w:hAnsi="宋体" w:eastAsia="宋体" w:cs="宋体"/>
          <w:color w:val="auto"/>
          <w:sz w:val="24"/>
          <w:highlight w:val="none"/>
          <w:lang w:val="en-US" w:eastAsia="zh-CN"/>
        </w:rPr>
      </w:pPr>
    </w:p>
    <w:p w14:paraId="716D690B">
      <w:pPr>
        <w:spacing w:line="360" w:lineRule="auto"/>
        <w:ind w:firstLine="435"/>
        <w:rPr>
          <w:rFonts w:hint="eastAsia" w:ascii="宋体" w:hAnsi="宋体" w:eastAsia="宋体" w:cs="宋体"/>
          <w:color w:val="auto"/>
          <w:sz w:val="24"/>
          <w:highlight w:val="none"/>
          <w:lang w:val="en-US" w:eastAsia="zh-CN"/>
        </w:rPr>
      </w:pPr>
    </w:p>
    <w:p w14:paraId="41FDCCC2">
      <w:pPr>
        <w:spacing w:line="360" w:lineRule="auto"/>
        <w:ind w:firstLine="435"/>
        <w:rPr>
          <w:rFonts w:hint="eastAsia" w:ascii="宋体" w:hAnsi="宋体" w:eastAsia="宋体" w:cs="宋体"/>
          <w:color w:val="auto"/>
          <w:sz w:val="24"/>
          <w:highlight w:val="none"/>
          <w:lang w:val="en-US" w:eastAsia="zh-CN"/>
        </w:rPr>
      </w:pPr>
    </w:p>
    <w:p w14:paraId="0F476DEA">
      <w:pPr>
        <w:spacing w:line="360" w:lineRule="auto"/>
        <w:ind w:firstLine="435"/>
        <w:rPr>
          <w:rFonts w:hint="eastAsia" w:ascii="宋体" w:hAnsi="宋体" w:eastAsia="宋体" w:cs="宋体"/>
          <w:color w:val="auto"/>
          <w:sz w:val="24"/>
          <w:highlight w:val="none"/>
          <w:lang w:val="en-US" w:eastAsia="zh-CN"/>
        </w:rPr>
      </w:pPr>
    </w:p>
    <w:p w14:paraId="3DD8E7FC">
      <w:pPr>
        <w:spacing w:line="360" w:lineRule="auto"/>
        <w:ind w:firstLine="435"/>
        <w:rPr>
          <w:rFonts w:hint="eastAsia" w:ascii="宋体" w:hAnsi="宋体" w:eastAsia="宋体" w:cs="宋体"/>
          <w:color w:val="auto"/>
          <w:sz w:val="24"/>
          <w:highlight w:val="none"/>
          <w:lang w:val="en-US" w:eastAsia="zh-CN"/>
        </w:rPr>
      </w:pPr>
    </w:p>
    <w:p w14:paraId="6B86E8BB">
      <w:pPr>
        <w:spacing w:line="360" w:lineRule="auto"/>
        <w:ind w:firstLine="435"/>
        <w:rPr>
          <w:rFonts w:hint="eastAsia" w:ascii="宋体" w:hAnsi="宋体" w:eastAsia="宋体" w:cs="宋体"/>
          <w:color w:val="auto"/>
          <w:sz w:val="24"/>
          <w:highlight w:val="none"/>
          <w:lang w:val="en-US" w:eastAsia="zh-CN"/>
        </w:rPr>
      </w:pPr>
    </w:p>
    <w:p w14:paraId="18824151">
      <w:pPr>
        <w:spacing w:line="360" w:lineRule="auto"/>
        <w:ind w:firstLine="435"/>
        <w:rPr>
          <w:rFonts w:hint="eastAsia" w:ascii="宋体" w:hAnsi="宋体" w:eastAsia="宋体" w:cs="宋体"/>
          <w:color w:val="auto"/>
          <w:sz w:val="24"/>
          <w:highlight w:val="none"/>
          <w:lang w:val="en-US" w:eastAsia="zh-CN"/>
        </w:rPr>
      </w:pPr>
    </w:p>
    <w:p w14:paraId="6EE2676A">
      <w:pPr>
        <w:spacing w:line="360" w:lineRule="auto"/>
        <w:ind w:firstLine="435"/>
        <w:rPr>
          <w:rFonts w:hint="eastAsia" w:ascii="宋体" w:hAnsi="宋体" w:eastAsia="宋体" w:cs="宋体"/>
          <w:color w:val="auto"/>
          <w:sz w:val="24"/>
          <w:highlight w:val="none"/>
          <w:lang w:val="en-US" w:eastAsia="zh-CN"/>
        </w:rPr>
      </w:pPr>
    </w:p>
    <w:p w14:paraId="3FB93790">
      <w:pPr>
        <w:pStyle w:val="3"/>
        <w:rPr>
          <w:rFonts w:hint="eastAsia" w:ascii="宋体" w:hAnsi="宋体" w:eastAsia="宋体" w:cs="宋体"/>
          <w:color w:val="auto"/>
          <w:sz w:val="24"/>
          <w:highlight w:val="none"/>
          <w:lang w:val="en-US" w:eastAsia="zh-CN"/>
        </w:rPr>
      </w:pPr>
    </w:p>
    <w:p w14:paraId="50B56C2F">
      <w:pPr>
        <w:rPr>
          <w:rFonts w:hint="eastAsia"/>
          <w:highlight w:val="none"/>
          <w:lang w:val="en-US" w:eastAsia="zh-CN"/>
        </w:rPr>
      </w:pPr>
    </w:p>
    <w:p w14:paraId="3F1DCF5A">
      <w:pPr>
        <w:spacing w:line="360" w:lineRule="auto"/>
        <w:ind w:firstLine="435"/>
        <w:rPr>
          <w:rFonts w:hint="eastAsia" w:ascii="宋体" w:hAnsi="宋体" w:eastAsia="宋体" w:cs="宋体"/>
          <w:color w:val="auto"/>
          <w:sz w:val="24"/>
          <w:highlight w:val="none"/>
          <w:lang w:val="en-US" w:eastAsia="zh-CN"/>
        </w:rPr>
      </w:pPr>
    </w:p>
    <w:p w14:paraId="000D6AD2">
      <w:pPr>
        <w:spacing w:line="360" w:lineRule="auto"/>
        <w:ind w:firstLine="435"/>
        <w:rPr>
          <w:rFonts w:hint="eastAsia" w:ascii="宋体" w:hAnsi="宋体" w:eastAsia="宋体" w:cs="宋体"/>
          <w:color w:val="auto"/>
          <w:sz w:val="24"/>
          <w:highlight w:val="none"/>
          <w:lang w:val="en-US" w:eastAsia="zh-CN"/>
        </w:rPr>
      </w:pPr>
    </w:p>
    <w:p w14:paraId="441E0381">
      <w:pPr>
        <w:spacing w:line="360" w:lineRule="auto"/>
        <w:ind w:firstLine="435"/>
        <w:rPr>
          <w:rFonts w:hint="eastAsia" w:ascii="宋体" w:hAnsi="宋体" w:eastAsia="宋体" w:cs="宋体"/>
          <w:color w:val="auto"/>
          <w:sz w:val="24"/>
          <w:highlight w:val="none"/>
          <w:lang w:val="en-US" w:eastAsia="zh-CN"/>
        </w:rPr>
      </w:pPr>
    </w:p>
    <w:p w14:paraId="3DC4AE93">
      <w:pPr>
        <w:spacing w:line="360" w:lineRule="auto"/>
        <w:jc w:val="center"/>
        <w:outlineLvl w:val="1"/>
        <w:rPr>
          <w:rFonts w:hint="eastAsia" w:ascii="宋体" w:hAnsi="宋体" w:eastAsia="宋体"/>
          <w:b/>
          <w:color w:val="auto"/>
          <w:sz w:val="24"/>
          <w:highlight w:val="none"/>
        </w:rPr>
      </w:pPr>
      <w:bookmarkStart w:id="52" w:name="_Toc1328"/>
      <w:r>
        <w:rPr>
          <w:rFonts w:hint="eastAsia" w:ascii="宋体" w:hAnsi="宋体" w:eastAsia="宋体"/>
          <w:b/>
          <w:color w:val="auto"/>
          <w:sz w:val="24"/>
          <w:highlight w:val="none"/>
          <w:lang w:val="en-US" w:eastAsia="zh-CN"/>
        </w:rPr>
        <w:t>一．投标人资格声明书</w:t>
      </w:r>
      <w:bookmarkEnd w:id="52"/>
    </w:p>
    <w:p w14:paraId="01957260">
      <w:pPr>
        <w:pStyle w:val="12"/>
        <w:spacing w:line="360" w:lineRule="auto"/>
        <w:rPr>
          <w:rFonts w:hint="eastAsia" w:ascii="宋体" w:hAnsi="宋体" w:eastAsia="宋体" w:cs="宋体"/>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1B95EBD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在参与本次项目投标中，我单位承诺：</w:t>
      </w:r>
    </w:p>
    <w:p w14:paraId="41CCF2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（一）具有良好的商业信誉和健全的财务会计制度；</w:t>
      </w:r>
    </w:p>
    <w:p w14:paraId="75C3B45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（二）具有履行合同所必需的设备和专业技术能力；</w:t>
      </w:r>
    </w:p>
    <w:p w14:paraId="7B2451C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（三）有依法缴纳税收和社会保障资金的良好记录；</w:t>
      </w:r>
    </w:p>
    <w:p w14:paraId="4F7245D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C1EC15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（五）我单位不存在为采购项目提供整体设计、规范编制或者项目管理、监理、检测等服务后，再参加该采购项目的其他采购活动的情形（单一来源采购项目除外）；</w:t>
      </w:r>
    </w:p>
    <w:p w14:paraId="665781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（六）与我单位存在单位负责人为同一人或者存在直接控股、管理关系的其他法人单位信息如下（如有，不论其是否参加同一合同项下的政府采购活动均须填写）：</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9B7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4BF4B8E">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序号</w:t>
            </w:r>
          </w:p>
        </w:tc>
        <w:tc>
          <w:tcPr>
            <w:tcW w:w="2841" w:type="dxa"/>
          </w:tcPr>
          <w:p w14:paraId="0B1E28B8">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单位名称</w:t>
            </w:r>
          </w:p>
        </w:tc>
        <w:tc>
          <w:tcPr>
            <w:tcW w:w="2841" w:type="dxa"/>
          </w:tcPr>
          <w:p w14:paraId="524B90F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相互关系</w:t>
            </w:r>
          </w:p>
        </w:tc>
      </w:tr>
      <w:tr w14:paraId="7C60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0C10A2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1</w:t>
            </w:r>
          </w:p>
        </w:tc>
        <w:tc>
          <w:tcPr>
            <w:tcW w:w="2841" w:type="dxa"/>
          </w:tcPr>
          <w:p w14:paraId="3CC9B9FA">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454523E8">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r w14:paraId="791C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C170B89">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2</w:t>
            </w:r>
          </w:p>
        </w:tc>
        <w:tc>
          <w:tcPr>
            <w:tcW w:w="2841" w:type="dxa"/>
          </w:tcPr>
          <w:p w14:paraId="5BF24752">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72B38ADF">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bl>
    <w:p w14:paraId="38B9AE3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00D12BAB">
      <w:pPr>
        <w:spacing w:line="360" w:lineRule="auto"/>
        <w:ind w:firstLine="4800" w:firstLineChars="2000"/>
        <w:rPr>
          <w:rFonts w:ascii="宋体" w:hAnsi="宋体" w:eastAsia="宋体"/>
          <w:color w:val="auto"/>
          <w:sz w:val="24"/>
          <w:highlight w:val="none"/>
        </w:rPr>
      </w:pPr>
    </w:p>
    <w:p w14:paraId="7104CE85">
      <w:pPr>
        <w:spacing w:line="360" w:lineRule="auto"/>
        <w:ind w:firstLine="4800" w:firstLineChars="2000"/>
        <w:rPr>
          <w:rFonts w:ascii="宋体" w:hAnsi="宋体" w:eastAsia="宋体"/>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4624F18">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79B0C955">
      <w:pPr>
        <w:pStyle w:val="8"/>
        <w:rPr>
          <w:rFonts w:hint="eastAsia" w:ascii="宋体" w:hAnsi="宋体" w:eastAsia="宋体" w:cs="宋体"/>
          <w:color w:val="000000"/>
          <w:kern w:val="0"/>
          <w:sz w:val="24"/>
          <w:szCs w:val="24"/>
          <w:highlight w:val="none"/>
          <w:lang w:val="en-US" w:eastAsia="zh-CN"/>
        </w:rPr>
      </w:pPr>
    </w:p>
    <w:p w14:paraId="7E727006">
      <w:pPr>
        <w:pStyle w:val="8"/>
        <w:rPr>
          <w:rFonts w:hint="eastAsia" w:ascii="宋体" w:hAnsi="宋体" w:eastAsia="宋体" w:cs="宋体"/>
          <w:color w:val="000000"/>
          <w:kern w:val="0"/>
          <w:sz w:val="24"/>
          <w:szCs w:val="24"/>
          <w:highlight w:val="none"/>
          <w:lang w:val="en-US" w:eastAsia="zh-CN"/>
        </w:rPr>
      </w:pPr>
    </w:p>
    <w:p w14:paraId="16982C85">
      <w:pPr>
        <w:pStyle w:val="8"/>
        <w:rPr>
          <w:rFonts w:hint="eastAsia" w:ascii="宋体" w:hAnsi="宋体" w:eastAsia="宋体" w:cs="宋体"/>
          <w:color w:val="000000"/>
          <w:kern w:val="0"/>
          <w:sz w:val="24"/>
          <w:szCs w:val="24"/>
          <w:highlight w:val="none"/>
          <w:lang w:val="en-US" w:eastAsia="zh-CN"/>
        </w:rPr>
      </w:pPr>
    </w:p>
    <w:p w14:paraId="658A8E08">
      <w:pPr>
        <w:rPr>
          <w:rFonts w:hint="eastAsia" w:ascii="宋体" w:hAnsi="宋体" w:eastAsia="宋体"/>
          <w:b/>
          <w:color w:val="auto"/>
          <w:sz w:val="24"/>
          <w:highlight w:val="none"/>
        </w:rPr>
      </w:pPr>
      <w:bookmarkStart w:id="53" w:name="_Toc11607"/>
      <w:r>
        <w:rPr>
          <w:rFonts w:hint="eastAsia" w:ascii="宋体" w:hAnsi="宋体" w:eastAsia="宋体"/>
          <w:b/>
          <w:color w:val="auto"/>
          <w:sz w:val="24"/>
          <w:highlight w:val="none"/>
        </w:rPr>
        <w:br w:type="page"/>
      </w:r>
    </w:p>
    <w:p w14:paraId="1A860CE9">
      <w:pPr>
        <w:spacing w:line="360" w:lineRule="auto"/>
        <w:jc w:val="center"/>
        <w:outlineLvl w:val="1"/>
        <w:rPr>
          <w:rFonts w:ascii="宋体" w:hAnsi="宋体" w:eastAsia="宋体"/>
          <w:b/>
          <w:color w:val="auto"/>
          <w:sz w:val="24"/>
          <w:highlight w:val="none"/>
        </w:rPr>
      </w:pPr>
      <w:bookmarkStart w:id="54" w:name="_Toc16960"/>
      <w:r>
        <w:rPr>
          <w:rFonts w:hint="eastAsia" w:ascii="宋体" w:hAnsi="宋体" w:eastAsia="宋体"/>
          <w:b/>
          <w:color w:val="auto"/>
          <w:sz w:val="24"/>
          <w:highlight w:val="none"/>
          <w:lang w:val="en-US" w:eastAsia="zh-CN"/>
        </w:rPr>
        <w:t>二</w:t>
      </w:r>
      <w:r>
        <w:rPr>
          <w:rFonts w:hint="eastAsia" w:ascii="宋体" w:hAnsi="宋体" w:eastAsia="宋体"/>
          <w:b/>
          <w:color w:val="auto"/>
          <w:sz w:val="24"/>
          <w:highlight w:val="none"/>
        </w:rPr>
        <w:t>、授权书</w:t>
      </w:r>
      <w:bookmarkEnd w:id="53"/>
      <w:bookmarkEnd w:id="54"/>
    </w:p>
    <w:p w14:paraId="3C51FF74">
      <w:pPr>
        <w:pStyle w:val="11"/>
        <w:snapToGrid w:val="0"/>
        <w:spacing w:line="360" w:lineRule="auto"/>
        <w:ind w:firstLine="480" w:firstLineChars="200"/>
        <w:jc w:val="left"/>
        <w:rPr>
          <w:rFonts w:hAnsi="宋体" w:eastAsia="宋体"/>
          <w:color w:val="auto"/>
          <w:sz w:val="24"/>
          <w:szCs w:val="28"/>
          <w:highlight w:val="none"/>
        </w:rPr>
      </w:pPr>
    </w:p>
    <w:p w14:paraId="3D21D01F">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8707F91">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00BF72AD">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宋体" w:hAnsi="宋体" w:eastAsia="宋体"/>
          <w:color w:val="auto"/>
          <w:sz w:val="24"/>
          <w:highlight w:val="none"/>
        </w:rPr>
        <w:t>代表</w:t>
      </w:r>
      <w:r>
        <w:rPr>
          <w:rFonts w:hint="eastAsia" w:hAnsi="宋体" w:eastAsia="宋体"/>
          <w:color w:val="auto"/>
          <w:sz w:val="24"/>
          <w:highlight w:val="none"/>
        </w:rPr>
        <w:t>身份证明扫描件：</w:t>
      </w:r>
    </w:p>
    <w:p w14:paraId="3B2176FC">
      <w:pPr>
        <w:spacing w:line="360" w:lineRule="auto"/>
        <w:ind w:firstLine="435"/>
        <w:rPr>
          <w:rFonts w:ascii="宋体" w:hAnsi="宋体" w:eastAsia="宋体"/>
          <w:color w:val="auto"/>
          <w:sz w:val="24"/>
          <w:highlight w:val="none"/>
        </w:rPr>
      </w:pPr>
    </w:p>
    <w:p w14:paraId="2D070F32">
      <w:pPr>
        <w:spacing w:line="360" w:lineRule="auto"/>
        <w:ind w:firstLine="435"/>
        <w:rPr>
          <w:rFonts w:ascii="宋体" w:hAnsi="宋体" w:eastAsia="宋体"/>
          <w:color w:val="auto"/>
          <w:sz w:val="24"/>
          <w:highlight w:val="none"/>
        </w:rPr>
      </w:pPr>
    </w:p>
    <w:p w14:paraId="76BF15CF">
      <w:pPr>
        <w:spacing w:line="360" w:lineRule="auto"/>
        <w:ind w:firstLine="435"/>
        <w:rPr>
          <w:rFonts w:ascii="宋体" w:hAnsi="宋体" w:eastAsia="宋体"/>
          <w:color w:val="auto"/>
          <w:sz w:val="24"/>
          <w:highlight w:val="none"/>
        </w:rPr>
      </w:pPr>
    </w:p>
    <w:p w14:paraId="14967361">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1A09CB5F">
      <w:pPr>
        <w:spacing w:line="360" w:lineRule="auto"/>
        <w:ind w:firstLine="435"/>
        <w:rPr>
          <w:rFonts w:hAnsi="宋体" w:eastAsia="宋体"/>
          <w:color w:val="auto"/>
          <w:sz w:val="24"/>
          <w:szCs w:val="28"/>
          <w:highlight w:val="none"/>
          <w:lang w:val="zh-CN"/>
        </w:rPr>
      </w:pPr>
    </w:p>
    <w:p w14:paraId="6A6BAE06">
      <w:pPr>
        <w:spacing w:line="360" w:lineRule="auto"/>
        <w:ind w:firstLine="435"/>
        <w:rPr>
          <w:rFonts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34B13E54">
      <w:pPr>
        <w:spacing w:line="360" w:lineRule="auto"/>
        <w:rPr>
          <w:rFonts w:ascii="宋体" w:hAnsi="宋体" w:eastAsia="宋体"/>
          <w:color w:val="auto"/>
          <w:sz w:val="24"/>
          <w:szCs w:val="28"/>
          <w:highlight w:val="none"/>
        </w:rPr>
      </w:pPr>
    </w:p>
    <w:p w14:paraId="637C119C">
      <w:pPr>
        <w:spacing w:line="360" w:lineRule="auto"/>
        <w:ind w:firstLine="4800" w:firstLineChars="2000"/>
        <w:rPr>
          <w:rFonts w:ascii="宋体" w:hAnsi="宋体" w:eastAsia="宋体"/>
          <w:color w:val="auto"/>
          <w:sz w:val="24"/>
          <w:highlight w:val="none"/>
        </w:rPr>
      </w:pPr>
      <w:r>
        <w:rPr>
          <w:rFonts w:hint="eastAsia" w:ascii="宋体" w:hAnsi="宋体" w:eastAsia="宋体"/>
          <w:bCs/>
          <w:color w:val="auto"/>
          <w:sz w:val="24"/>
          <w:szCs w:val="28"/>
          <w:highlight w:val="none"/>
          <w:lang w:val="en-US" w:eastAsia="zh-CN"/>
        </w:rPr>
        <w:t xml:space="preserve">                               </w:t>
      </w:r>
    </w:p>
    <w:p w14:paraId="60C9AF5D">
      <w:pP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highlight w:val="none"/>
          <w:lang w:val="en-US" w:eastAsia="zh-CN"/>
        </w:rPr>
        <w:t xml:space="preserve">                     投标人盖章  </w:t>
      </w:r>
      <w:r>
        <w:rPr>
          <w:rFonts w:hint="eastAsia" w:ascii="宋体" w:hAnsi="宋体" w:eastAsia="宋体"/>
          <w:bCs/>
          <w:color w:val="auto"/>
          <w:sz w:val="24"/>
          <w:szCs w:val="28"/>
          <w:highlight w:val="none"/>
        </w:rPr>
        <w:t>：</w:t>
      </w:r>
      <w:r>
        <w:rPr>
          <w:rFonts w:hint="eastAsia" w:ascii="宋体" w:hAnsi="宋体" w:eastAsia="宋体"/>
          <w:bCs/>
          <w:color w:val="auto"/>
          <w:sz w:val="24"/>
          <w:szCs w:val="28"/>
          <w:highlight w:val="none"/>
          <w:u w:val="single"/>
        </w:rPr>
        <w:t xml:space="preserve">                    </w:t>
      </w:r>
    </w:p>
    <w:p w14:paraId="67626BA3">
      <w:pP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6FF5999E">
      <w:pPr>
        <w:spacing w:line="360" w:lineRule="auto"/>
        <w:ind w:firstLine="435"/>
        <w:rPr>
          <w:rFonts w:ascii="宋体" w:hAnsi="宋体" w:eastAsia="宋体"/>
          <w:color w:val="auto"/>
          <w:sz w:val="24"/>
          <w:highlight w:val="none"/>
        </w:rPr>
      </w:pPr>
    </w:p>
    <w:p w14:paraId="13074CDD">
      <w:pPr>
        <w:spacing w:line="360" w:lineRule="auto"/>
        <w:ind w:firstLine="435"/>
        <w:rPr>
          <w:rFonts w:ascii="宋体" w:hAnsi="宋体" w:eastAsia="宋体"/>
          <w:color w:val="auto"/>
          <w:sz w:val="24"/>
          <w:highlight w:val="none"/>
        </w:rPr>
      </w:pPr>
    </w:p>
    <w:p w14:paraId="3BF67E01">
      <w:pPr>
        <w:spacing w:line="360" w:lineRule="auto"/>
        <w:rPr>
          <w:rFonts w:ascii="宋体" w:hAnsi="宋体" w:eastAsia="宋体"/>
          <w:color w:val="auto"/>
          <w:sz w:val="24"/>
          <w:highlight w:val="none"/>
        </w:rPr>
      </w:pPr>
      <w:r>
        <w:rPr>
          <w:rFonts w:hint="eastAsia" w:ascii="宋体" w:hAnsi="宋体" w:eastAsia="宋体"/>
          <w:color w:val="auto"/>
          <w:sz w:val="24"/>
          <w:highlight w:val="none"/>
        </w:rPr>
        <w:t>注：</w:t>
      </w:r>
    </w:p>
    <w:p w14:paraId="45110ED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206D252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16B94071">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2847B871">
      <w:pPr>
        <w:spacing w:line="360" w:lineRule="auto"/>
        <w:jc w:val="center"/>
        <w:outlineLvl w:val="1"/>
        <w:rPr>
          <w:rFonts w:hint="eastAsia" w:ascii="宋体" w:hAnsi="宋体" w:eastAsia="宋体"/>
          <w:b/>
          <w:color w:val="auto"/>
          <w:sz w:val="24"/>
          <w:highlight w:val="none"/>
          <w:lang w:val="en-US" w:eastAsia="zh-CN"/>
        </w:rPr>
      </w:pPr>
      <w:bookmarkStart w:id="55" w:name="_Toc300210382"/>
      <w:bookmarkStart w:id="56" w:name="_Toc520299348"/>
      <w:bookmarkStart w:id="57" w:name="_Toc457768004"/>
      <w:bookmarkStart w:id="58" w:name="_Toc25813"/>
      <w:bookmarkStart w:id="59" w:name="_Toc26536"/>
      <w:bookmarkStart w:id="60" w:name="_Hlk11701496"/>
      <w:r>
        <w:rPr>
          <w:rFonts w:hint="eastAsia" w:ascii="宋体" w:hAnsi="宋体" w:eastAsia="宋体"/>
          <w:b/>
          <w:color w:val="auto"/>
          <w:sz w:val="24"/>
          <w:highlight w:val="none"/>
          <w:lang w:val="en-US" w:eastAsia="zh-CN"/>
        </w:rPr>
        <w:t>三、</w:t>
      </w:r>
      <w:bookmarkEnd w:id="55"/>
      <w:bookmarkEnd w:id="56"/>
      <w:bookmarkEnd w:id="57"/>
      <w:r>
        <w:rPr>
          <w:rFonts w:hint="eastAsia" w:ascii="宋体" w:hAnsi="宋体" w:eastAsia="宋体"/>
          <w:b/>
          <w:color w:val="auto"/>
          <w:sz w:val="24"/>
          <w:highlight w:val="none"/>
          <w:lang w:val="en-US" w:eastAsia="zh-CN"/>
        </w:rPr>
        <w:t>诚信履约承诺函</w:t>
      </w:r>
      <w:bookmarkEnd w:id="58"/>
      <w:bookmarkEnd w:id="59"/>
    </w:p>
    <w:p w14:paraId="63FD0C56">
      <w:pPr>
        <w:spacing w:line="360" w:lineRule="auto"/>
        <w:rPr>
          <w:rFonts w:ascii="宋体" w:hAnsi="宋体" w:eastAsia="宋体"/>
          <w:b/>
          <w:bCs/>
          <w:color w:val="auto"/>
          <w:sz w:val="24"/>
          <w:highlight w:val="none"/>
        </w:rPr>
      </w:pPr>
    </w:p>
    <w:p w14:paraId="2B412825">
      <w:pPr>
        <w:spacing w:line="360" w:lineRule="auto"/>
        <w:rPr>
          <w:rFonts w:hint="eastAsia" w:ascii="宋体" w:hAnsi="宋体" w:eastAsia="宋体"/>
          <w:b/>
          <w:bCs/>
          <w:color w:val="auto"/>
          <w:sz w:val="24"/>
          <w:highlight w:val="none"/>
          <w:u w:val="single"/>
          <w:lang w:eastAsia="zh-CN"/>
        </w:rPr>
      </w:pPr>
      <w:r>
        <w:rPr>
          <w:rFonts w:hint="eastAsia" w:ascii="宋体" w:hAnsi="宋体" w:eastAsia="宋体"/>
          <w:b/>
          <w:bCs/>
          <w:color w:val="auto"/>
          <w:sz w:val="24"/>
          <w:highlight w:val="none"/>
        </w:rPr>
        <w:t>致：</w:t>
      </w:r>
      <w:r>
        <w:rPr>
          <w:rFonts w:hint="eastAsia" w:ascii="宋体" w:hAnsi="宋体" w:eastAsia="宋体"/>
          <w:b/>
          <w:bCs/>
          <w:color w:val="auto"/>
          <w:sz w:val="24"/>
          <w:highlight w:val="none"/>
          <w:u w:val="none"/>
          <w:lang w:eastAsia="zh-CN"/>
        </w:rPr>
        <w:t>采购人</w:t>
      </w:r>
    </w:p>
    <w:p w14:paraId="6BA3D8FE">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1EE931A5">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72A77AB9">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430E4B7F">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04778CC6">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62C4C4F5">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6E97CD88">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9BA5447">
      <w:pPr>
        <w:spacing w:line="360" w:lineRule="auto"/>
        <w:rPr>
          <w:rFonts w:ascii="宋体" w:hAnsi="宋体" w:eastAsia="宋体"/>
          <w:bCs/>
          <w:color w:val="auto"/>
          <w:sz w:val="24"/>
          <w:highlight w:val="none"/>
        </w:rPr>
      </w:pPr>
    </w:p>
    <w:p w14:paraId="568BEA82">
      <w:pPr>
        <w:spacing w:line="360" w:lineRule="auto"/>
        <w:rPr>
          <w:rFonts w:ascii="宋体" w:hAnsi="宋体" w:eastAsia="宋体"/>
          <w:bCs/>
          <w:color w:val="auto"/>
          <w:sz w:val="24"/>
          <w:highlight w:val="none"/>
        </w:rPr>
      </w:pPr>
    </w:p>
    <w:p w14:paraId="73180CD2">
      <w:pPr>
        <w:spacing w:line="360" w:lineRule="auto"/>
        <w:ind w:firstLine="4320" w:firstLineChars="1800"/>
        <w:rPr>
          <w:rFonts w:ascii="宋体" w:hAnsi="宋体" w:eastAsia="宋体"/>
          <w:bCs/>
          <w:color w:val="auto"/>
          <w:sz w:val="24"/>
          <w:highlight w:val="none"/>
          <w:u w:val="single"/>
        </w:rPr>
      </w:pPr>
      <w:r>
        <w:rPr>
          <w:rFonts w:hint="eastAsia" w:ascii="宋体" w:hAnsi="宋体" w:eastAsia="宋体"/>
          <w:bCs/>
          <w:color w:val="auto"/>
          <w:sz w:val="24"/>
          <w:highlight w:val="none"/>
        </w:rPr>
        <w:t>投标人</w:t>
      </w:r>
      <w:r>
        <w:rPr>
          <w:rFonts w:hint="eastAsia" w:ascii="宋体" w:hAnsi="宋体" w:eastAsia="宋体"/>
          <w:bCs/>
          <w:color w:val="auto"/>
          <w:sz w:val="24"/>
          <w:highlight w:val="none"/>
          <w:lang w:val="en-US" w:eastAsia="zh-CN"/>
        </w:rPr>
        <w:t>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2B8434C6">
      <w:pPr>
        <w:spacing w:line="360" w:lineRule="auto"/>
        <w:ind w:firstLine="4320" w:firstLineChars="1800"/>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3F5C7703">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60"/>
    <w:p w14:paraId="28EA2FD8">
      <w:pPr>
        <w:spacing w:line="360" w:lineRule="auto"/>
        <w:jc w:val="center"/>
        <w:outlineLvl w:val="0"/>
        <w:rPr>
          <w:rFonts w:hint="eastAsia" w:ascii="宋体" w:hAnsi="宋体" w:eastAsia="宋体"/>
          <w:b/>
          <w:color w:val="auto"/>
          <w:sz w:val="28"/>
          <w:highlight w:val="none"/>
        </w:rPr>
      </w:pPr>
      <w:bookmarkStart w:id="61" w:name="_Toc18131"/>
      <w:bookmarkStart w:id="62" w:name="_Toc6435"/>
    </w:p>
    <w:p w14:paraId="53B0DC61">
      <w:pPr>
        <w:spacing w:line="360" w:lineRule="auto"/>
        <w:jc w:val="center"/>
        <w:outlineLvl w:val="0"/>
        <w:rPr>
          <w:rFonts w:hint="eastAsia" w:ascii="宋体" w:hAnsi="宋体" w:eastAsia="宋体"/>
          <w:b/>
          <w:color w:val="auto"/>
          <w:sz w:val="28"/>
          <w:highlight w:val="none"/>
        </w:rPr>
      </w:pPr>
    </w:p>
    <w:p w14:paraId="51EC6F7C">
      <w:pPr>
        <w:spacing w:line="360" w:lineRule="auto"/>
        <w:jc w:val="center"/>
        <w:outlineLvl w:val="0"/>
        <w:rPr>
          <w:rFonts w:ascii="宋体" w:hAnsi="宋体" w:eastAsia="宋体"/>
          <w:b/>
          <w:color w:val="auto"/>
          <w:sz w:val="28"/>
          <w:highlight w:val="none"/>
        </w:rPr>
      </w:pPr>
      <w:r>
        <w:rPr>
          <w:rFonts w:hint="eastAsia" w:ascii="宋体" w:hAnsi="宋体" w:eastAsia="宋体"/>
          <w:b/>
          <w:color w:val="auto"/>
          <w:sz w:val="28"/>
          <w:highlight w:val="none"/>
        </w:rPr>
        <w:t xml:space="preserve"> 投标文件格式</w:t>
      </w:r>
    </w:p>
    <w:p w14:paraId="1F7792DA">
      <w:pPr>
        <w:spacing w:line="900" w:lineRule="exact"/>
        <w:jc w:val="center"/>
        <w:rPr>
          <w:rFonts w:ascii="宋体" w:hAnsi="宋体" w:eastAsia="宋体"/>
          <w:b/>
          <w:color w:val="auto"/>
          <w:sz w:val="72"/>
          <w:highlight w:val="none"/>
        </w:rPr>
      </w:pPr>
    </w:p>
    <w:p w14:paraId="2F4BDF77">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投</w:t>
      </w:r>
    </w:p>
    <w:p w14:paraId="53E84BA9">
      <w:pPr>
        <w:spacing w:line="900" w:lineRule="exact"/>
        <w:jc w:val="center"/>
        <w:rPr>
          <w:rFonts w:ascii="宋体" w:hAnsi="宋体" w:eastAsia="宋体"/>
          <w:b/>
          <w:color w:val="auto"/>
          <w:sz w:val="72"/>
          <w:highlight w:val="none"/>
        </w:rPr>
      </w:pPr>
    </w:p>
    <w:p w14:paraId="7172782F">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标</w:t>
      </w:r>
    </w:p>
    <w:p w14:paraId="7C3289C1">
      <w:pPr>
        <w:spacing w:line="900" w:lineRule="exact"/>
        <w:jc w:val="center"/>
        <w:rPr>
          <w:rFonts w:ascii="宋体" w:hAnsi="宋体" w:eastAsia="宋体"/>
          <w:b/>
          <w:color w:val="auto"/>
          <w:sz w:val="72"/>
          <w:highlight w:val="none"/>
        </w:rPr>
      </w:pPr>
    </w:p>
    <w:p w14:paraId="0C9323B7">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文</w:t>
      </w:r>
    </w:p>
    <w:p w14:paraId="45410A55">
      <w:pPr>
        <w:spacing w:line="900" w:lineRule="exact"/>
        <w:jc w:val="center"/>
        <w:rPr>
          <w:rFonts w:ascii="宋体" w:hAnsi="宋体" w:eastAsia="宋体"/>
          <w:b/>
          <w:color w:val="auto"/>
          <w:sz w:val="72"/>
          <w:highlight w:val="none"/>
        </w:rPr>
      </w:pPr>
    </w:p>
    <w:p w14:paraId="0E5C0288">
      <w:pPr>
        <w:jc w:val="center"/>
        <w:outlineLvl w:val="1"/>
        <w:rPr>
          <w:rFonts w:ascii="宋体" w:hAnsi="宋体" w:eastAsia="宋体"/>
          <w:b/>
          <w:color w:val="auto"/>
          <w:sz w:val="72"/>
          <w:highlight w:val="none"/>
        </w:rPr>
      </w:pPr>
      <w:r>
        <w:rPr>
          <w:rFonts w:hint="eastAsia" w:ascii="宋体" w:hAnsi="宋体" w:eastAsia="宋体"/>
          <w:b/>
          <w:color w:val="auto"/>
          <w:sz w:val="72"/>
          <w:highlight w:val="none"/>
        </w:rPr>
        <w:t>件</w:t>
      </w:r>
    </w:p>
    <w:p w14:paraId="72A66CA3">
      <w:pP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商务标（二）</w:t>
      </w:r>
    </w:p>
    <w:p w14:paraId="7F309541">
      <w:pPr>
        <w:spacing w:after="156" w:afterLines="50" w:line="500" w:lineRule="exact"/>
        <w:jc w:val="center"/>
        <w:rPr>
          <w:rFonts w:ascii="宋体" w:hAnsi="宋体" w:eastAsia="宋体"/>
          <w:b/>
          <w:color w:val="auto"/>
          <w:sz w:val="28"/>
          <w:szCs w:val="28"/>
          <w:highlight w:val="none"/>
        </w:rPr>
      </w:pPr>
    </w:p>
    <w:p w14:paraId="516283E6">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4558D29E">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3423621">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85C0B01">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p>
    <w:p w14:paraId="63893A9E">
      <w:pPr>
        <w:spacing w:line="360" w:lineRule="auto"/>
        <w:jc w:val="center"/>
        <w:outlineLvl w:val="0"/>
        <w:rPr>
          <w:rFonts w:hint="eastAsia" w:ascii="宋体" w:hAnsi="宋体" w:eastAsia="宋体"/>
          <w:b/>
          <w:color w:val="auto"/>
          <w:sz w:val="28"/>
          <w:highlight w:val="none"/>
        </w:rPr>
      </w:pPr>
    </w:p>
    <w:p w14:paraId="36CBA54B">
      <w:pPr>
        <w:tabs>
          <w:tab w:val="left" w:pos="2410"/>
        </w:tabs>
        <w:autoSpaceDE w:val="0"/>
        <w:autoSpaceDN w:val="0"/>
        <w:adjustRightInd w:val="0"/>
        <w:snapToGrid w:val="0"/>
        <w:spacing w:line="360" w:lineRule="auto"/>
        <w:ind w:firstLine="643" w:firstLineChars="200"/>
        <w:jc w:val="center"/>
        <w:outlineLvl w:val="9"/>
        <w:rPr>
          <w:rFonts w:hint="eastAsia" w:ascii="宋体" w:hAnsi="宋体" w:eastAsia="宋体"/>
          <w:b/>
          <w:color w:val="auto"/>
          <w:sz w:val="32"/>
          <w:highlight w:val="none"/>
          <w:lang w:val="en-US" w:eastAsia="zh-CN"/>
        </w:rPr>
      </w:pPr>
      <w:r>
        <w:rPr>
          <w:rFonts w:hint="eastAsia" w:ascii="宋体" w:hAnsi="宋体" w:eastAsia="宋体"/>
          <w:b/>
          <w:color w:val="auto"/>
          <w:sz w:val="32"/>
          <w:highlight w:val="none"/>
          <w:lang w:val="en-US" w:eastAsia="zh-CN"/>
        </w:rPr>
        <w:t>目录</w:t>
      </w:r>
    </w:p>
    <w:p w14:paraId="6523C5F9">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1.投标函（格式见附件）；</w:t>
      </w:r>
    </w:p>
    <w:p w14:paraId="495B2DD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2.投标分项报价表（格式见附件）；</w:t>
      </w:r>
    </w:p>
    <w:p w14:paraId="4E0AB72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3.招标文件商务评审中要求提供的其他相关资料；</w:t>
      </w:r>
    </w:p>
    <w:p w14:paraId="1A0263A6">
      <w:pPr>
        <w:spacing w:line="360" w:lineRule="auto"/>
        <w:ind w:firstLine="435"/>
        <w:rPr>
          <w:rFonts w:hint="default" w:ascii="宋体" w:hAnsi="宋体" w:eastAsia="宋体" w:cs="宋体"/>
          <w:color w:val="auto"/>
          <w:sz w:val="24"/>
          <w:highlight w:val="none"/>
          <w:lang w:val="en-US" w:eastAsia="zh-CN"/>
        </w:rPr>
      </w:pPr>
    </w:p>
    <w:p w14:paraId="0DE05CFA">
      <w:pPr>
        <w:spacing w:line="360" w:lineRule="auto"/>
        <w:jc w:val="center"/>
        <w:outlineLvl w:val="0"/>
        <w:rPr>
          <w:rFonts w:hint="eastAsia" w:ascii="宋体" w:hAnsi="宋体" w:eastAsia="宋体"/>
          <w:b/>
          <w:color w:val="auto"/>
          <w:sz w:val="28"/>
          <w:highlight w:val="none"/>
        </w:rPr>
      </w:pPr>
    </w:p>
    <w:p w14:paraId="5782085B">
      <w:pPr>
        <w:spacing w:line="360" w:lineRule="auto"/>
        <w:jc w:val="center"/>
        <w:outlineLvl w:val="0"/>
        <w:rPr>
          <w:rFonts w:hint="eastAsia" w:ascii="宋体" w:hAnsi="宋体" w:eastAsia="宋体"/>
          <w:b/>
          <w:color w:val="auto"/>
          <w:sz w:val="28"/>
          <w:highlight w:val="none"/>
        </w:rPr>
      </w:pPr>
    </w:p>
    <w:p w14:paraId="4E1E8186">
      <w:pPr>
        <w:spacing w:line="360" w:lineRule="auto"/>
        <w:jc w:val="center"/>
        <w:outlineLvl w:val="0"/>
        <w:rPr>
          <w:rFonts w:hint="eastAsia" w:ascii="宋体" w:hAnsi="宋体" w:eastAsia="宋体"/>
          <w:b/>
          <w:color w:val="auto"/>
          <w:sz w:val="28"/>
          <w:highlight w:val="none"/>
        </w:rPr>
      </w:pPr>
    </w:p>
    <w:p w14:paraId="4B9176F1">
      <w:pPr>
        <w:spacing w:line="360" w:lineRule="auto"/>
        <w:jc w:val="center"/>
        <w:outlineLvl w:val="0"/>
        <w:rPr>
          <w:rFonts w:hint="eastAsia" w:ascii="宋体" w:hAnsi="宋体" w:eastAsia="宋体"/>
          <w:b/>
          <w:color w:val="auto"/>
          <w:sz w:val="28"/>
          <w:highlight w:val="none"/>
        </w:rPr>
      </w:pPr>
    </w:p>
    <w:p w14:paraId="3E4FF541">
      <w:pPr>
        <w:spacing w:line="360" w:lineRule="auto"/>
        <w:jc w:val="center"/>
        <w:outlineLvl w:val="0"/>
        <w:rPr>
          <w:rFonts w:hint="eastAsia" w:ascii="宋体" w:hAnsi="宋体" w:eastAsia="宋体"/>
          <w:b/>
          <w:color w:val="auto"/>
          <w:sz w:val="28"/>
          <w:highlight w:val="none"/>
        </w:rPr>
      </w:pPr>
    </w:p>
    <w:p w14:paraId="5DFEB2FD">
      <w:pPr>
        <w:spacing w:line="360" w:lineRule="auto"/>
        <w:jc w:val="center"/>
        <w:outlineLvl w:val="0"/>
        <w:rPr>
          <w:rFonts w:hint="eastAsia" w:ascii="宋体" w:hAnsi="宋体" w:eastAsia="宋体"/>
          <w:b/>
          <w:color w:val="auto"/>
          <w:sz w:val="28"/>
          <w:highlight w:val="none"/>
        </w:rPr>
      </w:pPr>
    </w:p>
    <w:p w14:paraId="42185861">
      <w:pPr>
        <w:spacing w:line="360" w:lineRule="auto"/>
        <w:jc w:val="center"/>
        <w:outlineLvl w:val="0"/>
        <w:rPr>
          <w:rFonts w:hint="eastAsia" w:ascii="宋体" w:hAnsi="宋体" w:eastAsia="宋体"/>
          <w:b/>
          <w:color w:val="auto"/>
          <w:sz w:val="28"/>
          <w:highlight w:val="none"/>
        </w:rPr>
      </w:pPr>
    </w:p>
    <w:p w14:paraId="26FA325C">
      <w:pPr>
        <w:spacing w:line="360" w:lineRule="auto"/>
        <w:jc w:val="center"/>
        <w:outlineLvl w:val="0"/>
        <w:rPr>
          <w:rFonts w:hint="eastAsia" w:ascii="宋体" w:hAnsi="宋体" w:eastAsia="宋体"/>
          <w:b/>
          <w:color w:val="auto"/>
          <w:sz w:val="28"/>
          <w:highlight w:val="none"/>
        </w:rPr>
      </w:pPr>
    </w:p>
    <w:p w14:paraId="1315019E">
      <w:pPr>
        <w:spacing w:line="360" w:lineRule="auto"/>
        <w:jc w:val="center"/>
        <w:outlineLvl w:val="0"/>
        <w:rPr>
          <w:rFonts w:hint="eastAsia" w:ascii="宋体" w:hAnsi="宋体" w:eastAsia="宋体"/>
          <w:b/>
          <w:color w:val="auto"/>
          <w:sz w:val="28"/>
          <w:highlight w:val="none"/>
        </w:rPr>
      </w:pPr>
    </w:p>
    <w:p w14:paraId="20403837">
      <w:pPr>
        <w:spacing w:line="360" w:lineRule="auto"/>
        <w:jc w:val="center"/>
        <w:outlineLvl w:val="0"/>
        <w:rPr>
          <w:rFonts w:hint="eastAsia" w:ascii="宋体" w:hAnsi="宋体" w:eastAsia="宋体"/>
          <w:b/>
          <w:color w:val="auto"/>
          <w:sz w:val="28"/>
          <w:highlight w:val="none"/>
        </w:rPr>
      </w:pPr>
    </w:p>
    <w:p w14:paraId="0520C5FA">
      <w:pPr>
        <w:spacing w:line="360" w:lineRule="auto"/>
        <w:jc w:val="center"/>
        <w:outlineLvl w:val="0"/>
        <w:rPr>
          <w:rFonts w:hint="eastAsia" w:ascii="宋体" w:hAnsi="宋体" w:eastAsia="宋体"/>
          <w:b/>
          <w:color w:val="auto"/>
          <w:sz w:val="28"/>
          <w:highlight w:val="none"/>
        </w:rPr>
      </w:pPr>
    </w:p>
    <w:p w14:paraId="36D6804C">
      <w:pPr>
        <w:spacing w:line="360" w:lineRule="auto"/>
        <w:jc w:val="center"/>
        <w:outlineLvl w:val="0"/>
        <w:rPr>
          <w:rFonts w:hint="eastAsia" w:ascii="宋体" w:hAnsi="宋体" w:eastAsia="宋体"/>
          <w:b/>
          <w:color w:val="auto"/>
          <w:sz w:val="28"/>
          <w:highlight w:val="none"/>
        </w:rPr>
      </w:pPr>
    </w:p>
    <w:p w14:paraId="355B68DE">
      <w:pPr>
        <w:spacing w:line="360" w:lineRule="auto"/>
        <w:jc w:val="center"/>
        <w:outlineLvl w:val="0"/>
        <w:rPr>
          <w:rFonts w:hint="eastAsia" w:ascii="宋体" w:hAnsi="宋体" w:eastAsia="宋体"/>
          <w:b/>
          <w:color w:val="auto"/>
          <w:sz w:val="28"/>
          <w:highlight w:val="none"/>
        </w:rPr>
      </w:pPr>
    </w:p>
    <w:p w14:paraId="6083BE45">
      <w:pPr>
        <w:spacing w:line="360" w:lineRule="auto"/>
        <w:jc w:val="center"/>
        <w:outlineLvl w:val="0"/>
        <w:rPr>
          <w:rFonts w:hint="eastAsia" w:ascii="宋体" w:hAnsi="宋体" w:eastAsia="宋体"/>
          <w:b/>
          <w:color w:val="auto"/>
          <w:sz w:val="28"/>
          <w:highlight w:val="none"/>
        </w:rPr>
      </w:pPr>
    </w:p>
    <w:p w14:paraId="47C2F63F">
      <w:pPr>
        <w:spacing w:line="360" w:lineRule="auto"/>
        <w:jc w:val="center"/>
        <w:outlineLvl w:val="0"/>
        <w:rPr>
          <w:rFonts w:hint="eastAsia" w:ascii="宋体" w:hAnsi="宋体" w:eastAsia="宋体"/>
          <w:b/>
          <w:color w:val="auto"/>
          <w:sz w:val="28"/>
          <w:highlight w:val="none"/>
        </w:rPr>
      </w:pPr>
    </w:p>
    <w:p w14:paraId="1C087FBE">
      <w:pPr>
        <w:spacing w:line="360" w:lineRule="auto"/>
        <w:jc w:val="center"/>
        <w:outlineLvl w:val="0"/>
        <w:rPr>
          <w:rFonts w:hint="eastAsia" w:ascii="宋体" w:hAnsi="宋体" w:eastAsia="宋体"/>
          <w:b/>
          <w:color w:val="auto"/>
          <w:sz w:val="28"/>
          <w:highlight w:val="none"/>
        </w:rPr>
      </w:pPr>
    </w:p>
    <w:p w14:paraId="5FBCD799">
      <w:pPr>
        <w:spacing w:line="360" w:lineRule="auto"/>
        <w:jc w:val="center"/>
        <w:outlineLvl w:val="0"/>
        <w:rPr>
          <w:rFonts w:hint="eastAsia" w:ascii="宋体" w:hAnsi="宋体" w:eastAsia="宋体"/>
          <w:b/>
          <w:color w:val="auto"/>
          <w:sz w:val="28"/>
          <w:highlight w:val="none"/>
        </w:rPr>
      </w:pPr>
    </w:p>
    <w:p w14:paraId="6D899750">
      <w:pPr>
        <w:spacing w:line="360" w:lineRule="auto"/>
        <w:jc w:val="center"/>
        <w:outlineLvl w:val="0"/>
        <w:rPr>
          <w:rFonts w:hint="eastAsia" w:ascii="宋体" w:hAnsi="宋体" w:eastAsia="宋体"/>
          <w:b/>
          <w:color w:val="auto"/>
          <w:sz w:val="28"/>
          <w:highlight w:val="none"/>
        </w:rPr>
      </w:pPr>
    </w:p>
    <w:p w14:paraId="772A84AD">
      <w:pPr>
        <w:spacing w:line="360" w:lineRule="auto"/>
        <w:jc w:val="center"/>
        <w:outlineLvl w:val="0"/>
        <w:rPr>
          <w:rFonts w:hint="eastAsia" w:ascii="宋体" w:hAnsi="宋体" w:eastAsia="宋体"/>
          <w:b/>
          <w:color w:val="auto"/>
          <w:sz w:val="28"/>
          <w:highlight w:val="none"/>
        </w:rPr>
      </w:pPr>
      <w:r>
        <w:rPr>
          <w:rFonts w:ascii="宋体" w:hAnsi="宋体" w:eastAsia="宋体"/>
          <w:color w:val="auto"/>
          <w:sz w:val="24"/>
          <w:highlight w:val="none"/>
        </w:rPr>
        <w:br w:type="page"/>
      </w:r>
    </w:p>
    <w:p w14:paraId="7069AC3A">
      <w:pPr>
        <w:spacing w:line="360" w:lineRule="auto"/>
        <w:jc w:val="center"/>
        <w:outlineLvl w:val="1"/>
        <w:rPr>
          <w:rFonts w:ascii="宋体" w:hAnsi="宋体" w:eastAsia="宋体"/>
          <w:b/>
          <w:color w:val="auto"/>
          <w:sz w:val="24"/>
          <w:highlight w:val="none"/>
        </w:rPr>
      </w:pPr>
      <w:bookmarkStart w:id="63" w:name="_Toc18010"/>
      <w:bookmarkStart w:id="64" w:name="_Toc6441"/>
      <w:r>
        <w:rPr>
          <w:rFonts w:hint="eastAsia" w:ascii="宋体" w:hAnsi="宋体" w:eastAsia="宋体"/>
          <w:b/>
          <w:color w:val="auto"/>
          <w:sz w:val="24"/>
          <w:highlight w:val="none"/>
          <w:lang w:val="en-US" w:eastAsia="zh-CN"/>
        </w:rPr>
        <w:t>一</w:t>
      </w:r>
      <w:r>
        <w:rPr>
          <w:rFonts w:hint="eastAsia" w:ascii="宋体" w:hAnsi="宋体" w:eastAsia="宋体"/>
          <w:b/>
          <w:color w:val="auto"/>
          <w:sz w:val="24"/>
          <w:highlight w:val="none"/>
        </w:rPr>
        <w:t>、投标函</w:t>
      </w:r>
      <w:bookmarkEnd w:id="63"/>
      <w:bookmarkEnd w:id="64"/>
    </w:p>
    <w:p w14:paraId="468F39E4">
      <w:pPr>
        <w:pStyle w:val="12"/>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4A073C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53E3B46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5E3DA48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.我方已详细审核全部招标文件，包括招标文件</w:t>
      </w:r>
      <w:r>
        <w:rPr>
          <w:rFonts w:hint="eastAsia" w:ascii="宋体" w:hAnsi="宋体" w:eastAsia="宋体"/>
          <w:color w:val="auto"/>
          <w:sz w:val="24"/>
          <w:highlight w:val="none"/>
          <w:lang w:val="en-US" w:eastAsia="zh-CN"/>
        </w:rPr>
        <w:t>附件及更正公告（如有）</w:t>
      </w:r>
      <w:r>
        <w:rPr>
          <w:rFonts w:hint="eastAsia" w:ascii="宋体" w:hAnsi="宋体" w:eastAsia="宋体"/>
          <w:color w:val="auto"/>
          <w:sz w:val="24"/>
          <w:highlight w:val="none"/>
        </w:rPr>
        <w:t>，我方正式认可并遵守本次招标文件，并对招标文件各项条款、规定及要求均无异议。</w:t>
      </w:r>
    </w:p>
    <w:p w14:paraId="18D95B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.我方同意从招标文件规定的开标日期起遵循本招标文件，并在招标文件规定的投标有效期之前均具有约束力。</w:t>
      </w:r>
    </w:p>
    <w:p w14:paraId="6932F8E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1AEBAA3C">
      <w:pPr>
        <w:spacing w:line="360" w:lineRule="auto"/>
        <w:ind w:firstLine="4800" w:firstLineChars="2000"/>
        <w:rPr>
          <w:rFonts w:ascii="宋体" w:hAnsi="宋体" w:eastAsia="宋体"/>
          <w:color w:val="auto"/>
          <w:sz w:val="24"/>
          <w:highlight w:val="none"/>
        </w:rPr>
      </w:pPr>
    </w:p>
    <w:p w14:paraId="1DC76F4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4916BD9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17B5E7E">
      <w:pPr>
        <w:spacing w:line="360" w:lineRule="auto"/>
        <w:jc w:val="center"/>
        <w:outlineLvl w:val="0"/>
        <w:rPr>
          <w:rFonts w:hint="eastAsia" w:ascii="宋体" w:hAnsi="宋体" w:eastAsia="宋体"/>
          <w:b/>
          <w:color w:val="auto"/>
          <w:sz w:val="28"/>
          <w:highlight w:val="none"/>
        </w:rPr>
      </w:pPr>
    </w:p>
    <w:p w14:paraId="1A4FFA23">
      <w:pPr>
        <w:spacing w:line="360" w:lineRule="auto"/>
        <w:jc w:val="center"/>
        <w:outlineLvl w:val="0"/>
        <w:rPr>
          <w:rFonts w:hint="eastAsia" w:ascii="宋体" w:hAnsi="宋体" w:eastAsia="宋体"/>
          <w:b/>
          <w:color w:val="auto"/>
          <w:sz w:val="28"/>
          <w:highlight w:val="none"/>
        </w:rPr>
      </w:pPr>
    </w:p>
    <w:p w14:paraId="4D1B50D1">
      <w:pPr>
        <w:spacing w:line="360" w:lineRule="auto"/>
        <w:jc w:val="center"/>
        <w:outlineLvl w:val="0"/>
        <w:rPr>
          <w:rFonts w:hint="eastAsia" w:ascii="宋体" w:hAnsi="宋体" w:eastAsia="宋体"/>
          <w:b/>
          <w:color w:val="auto"/>
          <w:sz w:val="28"/>
          <w:highlight w:val="none"/>
        </w:rPr>
      </w:pPr>
    </w:p>
    <w:p w14:paraId="33171277">
      <w:pPr>
        <w:spacing w:line="360" w:lineRule="auto"/>
        <w:jc w:val="center"/>
        <w:outlineLvl w:val="0"/>
        <w:rPr>
          <w:rFonts w:hint="eastAsia" w:ascii="宋体" w:hAnsi="宋体" w:eastAsia="宋体"/>
          <w:b/>
          <w:color w:val="auto"/>
          <w:sz w:val="28"/>
          <w:highlight w:val="none"/>
        </w:rPr>
      </w:pPr>
    </w:p>
    <w:p w14:paraId="24295485">
      <w:pPr>
        <w:spacing w:line="360" w:lineRule="auto"/>
        <w:jc w:val="center"/>
        <w:outlineLvl w:val="0"/>
        <w:rPr>
          <w:rFonts w:hint="eastAsia" w:ascii="宋体" w:hAnsi="宋体" w:eastAsia="宋体"/>
          <w:b/>
          <w:color w:val="auto"/>
          <w:sz w:val="28"/>
          <w:highlight w:val="none"/>
        </w:rPr>
      </w:pPr>
    </w:p>
    <w:p w14:paraId="7DDD1FC1">
      <w:pPr>
        <w:spacing w:line="360" w:lineRule="auto"/>
        <w:jc w:val="center"/>
        <w:outlineLvl w:val="0"/>
        <w:rPr>
          <w:rFonts w:hint="eastAsia" w:ascii="宋体" w:hAnsi="宋体" w:eastAsia="宋体"/>
          <w:b/>
          <w:color w:val="auto"/>
          <w:sz w:val="28"/>
          <w:highlight w:val="none"/>
        </w:rPr>
      </w:pPr>
    </w:p>
    <w:p w14:paraId="43175992">
      <w:pPr>
        <w:spacing w:line="360" w:lineRule="auto"/>
        <w:jc w:val="center"/>
        <w:outlineLvl w:val="0"/>
        <w:rPr>
          <w:rFonts w:hint="eastAsia" w:ascii="宋体" w:hAnsi="宋体" w:eastAsia="宋体"/>
          <w:b/>
          <w:color w:val="auto"/>
          <w:sz w:val="28"/>
          <w:highlight w:val="none"/>
        </w:rPr>
      </w:pPr>
    </w:p>
    <w:p w14:paraId="01B5060D">
      <w:pPr>
        <w:spacing w:line="360" w:lineRule="auto"/>
        <w:jc w:val="center"/>
        <w:outlineLvl w:val="1"/>
        <w:rPr>
          <w:rFonts w:hint="eastAsia" w:ascii="宋体" w:hAnsi="宋体" w:eastAsia="宋体"/>
          <w:b/>
          <w:color w:val="auto"/>
          <w:sz w:val="24"/>
          <w:highlight w:val="none"/>
        </w:rPr>
      </w:pPr>
      <w:bookmarkStart w:id="65" w:name="_Toc31991"/>
      <w:bookmarkStart w:id="66" w:name="_Toc6796"/>
    </w:p>
    <w:p w14:paraId="3C73A698">
      <w:pPr>
        <w:pStyle w:val="3"/>
        <w:rPr>
          <w:rFonts w:hint="eastAsia"/>
          <w:highlight w:val="none"/>
        </w:rPr>
      </w:pPr>
    </w:p>
    <w:p w14:paraId="2484B04A">
      <w:pPr>
        <w:spacing w:line="360" w:lineRule="auto"/>
        <w:jc w:val="center"/>
        <w:outlineLvl w:val="1"/>
        <w:rPr>
          <w:rFonts w:hint="eastAsia" w:ascii="宋体" w:hAnsi="宋体" w:eastAsia="宋体"/>
          <w:b/>
          <w:color w:val="auto"/>
          <w:sz w:val="24"/>
          <w:highlight w:val="none"/>
        </w:rPr>
      </w:pPr>
    </w:p>
    <w:p w14:paraId="601BEA56">
      <w:pPr>
        <w:spacing w:line="360" w:lineRule="auto"/>
        <w:jc w:val="center"/>
        <w:outlineLvl w:val="1"/>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三</w:t>
      </w:r>
      <w:r>
        <w:rPr>
          <w:rFonts w:hint="eastAsia" w:ascii="宋体" w:hAnsi="宋体" w:eastAsia="宋体"/>
          <w:b/>
          <w:color w:val="auto"/>
          <w:sz w:val="24"/>
          <w:highlight w:val="none"/>
        </w:rPr>
        <w:t>、投标分项报价表</w:t>
      </w:r>
      <w:bookmarkEnd w:id="65"/>
      <w:bookmarkEnd w:id="66"/>
    </w:p>
    <w:p w14:paraId="436D1BA1">
      <w:pPr>
        <w:spacing w:line="360" w:lineRule="auto"/>
        <w:ind w:firstLine="435"/>
        <w:rPr>
          <w:rFonts w:ascii="宋体" w:hAnsi="宋体" w:eastAsia="宋体"/>
          <w:b/>
          <w:color w:val="auto"/>
          <w:sz w:val="24"/>
          <w:highlight w:val="none"/>
        </w:rPr>
      </w:pPr>
    </w:p>
    <w:p w14:paraId="34BE8DF3">
      <w:pPr>
        <w:spacing w:line="560" w:lineRule="exact"/>
        <w:rPr>
          <w:rFonts w:hint="eastAsia" w:ascii="仿宋_GB2312" w:eastAsia="仿宋_GB2312"/>
          <w:sz w:val="32"/>
          <w:szCs w:val="32"/>
          <w:highlight w:val="none"/>
        </w:rPr>
      </w:pPr>
    </w:p>
    <w:p w14:paraId="02679444">
      <w:pPr>
        <w:spacing w:line="5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法律顾问费</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3"/>
        <w:gridCol w:w="1417"/>
      </w:tblGrid>
      <w:tr w14:paraId="473E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3" w:type="dxa"/>
          </w:tcPr>
          <w:p w14:paraId="4203C325">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类别</w:t>
            </w:r>
          </w:p>
        </w:tc>
        <w:tc>
          <w:tcPr>
            <w:tcW w:w="1417" w:type="dxa"/>
          </w:tcPr>
          <w:p w14:paraId="25624D5E">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r>
      <w:tr w14:paraId="0008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4EE5587A">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法律顾问费（最高限价5万元）</w:t>
            </w:r>
          </w:p>
        </w:tc>
        <w:tc>
          <w:tcPr>
            <w:tcW w:w="1417" w:type="dxa"/>
          </w:tcPr>
          <w:p w14:paraId="4F80173D">
            <w:pPr>
              <w:spacing w:line="560" w:lineRule="exact"/>
              <w:rPr>
                <w:rFonts w:hint="eastAsia" w:ascii="宋体" w:hAnsi="宋体" w:eastAsia="宋体" w:cs="宋体"/>
                <w:sz w:val="24"/>
                <w:szCs w:val="24"/>
                <w:highlight w:val="none"/>
              </w:rPr>
            </w:pPr>
          </w:p>
        </w:tc>
      </w:tr>
    </w:tbl>
    <w:p w14:paraId="704FD74E">
      <w:pPr>
        <w:spacing w:line="560" w:lineRule="exact"/>
        <w:rPr>
          <w:rFonts w:hint="eastAsia" w:ascii="宋体" w:hAnsi="宋体" w:eastAsia="宋体" w:cs="宋体"/>
          <w:sz w:val="24"/>
          <w:szCs w:val="24"/>
          <w:highlight w:val="none"/>
        </w:rPr>
      </w:pPr>
    </w:p>
    <w:p w14:paraId="0B631E6D">
      <w:pPr>
        <w:spacing w:line="560" w:lineRule="exac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医疗损害责任纠纷案件诉讼代理费：1.一、二审阶段</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2.再审阶段</w:t>
      </w:r>
      <w:r>
        <w:rPr>
          <w:rFonts w:hint="eastAsia" w:ascii="宋体" w:hAnsi="宋体" w:eastAsia="宋体" w:cs="宋体"/>
          <w:b/>
          <w:bCs/>
          <w:sz w:val="24"/>
          <w:szCs w:val="24"/>
          <w:highlight w:val="none"/>
          <w:lang w:eastAsia="zh-CN"/>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3"/>
        <w:gridCol w:w="1417"/>
      </w:tblGrid>
      <w:tr w14:paraId="363C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74C8345C">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类别</w:t>
            </w:r>
          </w:p>
        </w:tc>
        <w:tc>
          <w:tcPr>
            <w:tcW w:w="1417" w:type="dxa"/>
          </w:tcPr>
          <w:p w14:paraId="3F8D993E">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r>
      <w:tr w14:paraId="0041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54D35D1C">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一、二审阶段合计诉讼代理费（最高限价8千元）</w:t>
            </w:r>
          </w:p>
        </w:tc>
        <w:tc>
          <w:tcPr>
            <w:tcW w:w="1417" w:type="dxa"/>
          </w:tcPr>
          <w:p w14:paraId="4BA7D277">
            <w:pPr>
              <w:spacing w:line="560" w:lineRule="exact"/>
              <w:rPr>
                <w:rFonts w:hint="eastAsia" w:ascii="宋体" w:hAnsi="宋体" w:eastAsia="宋体" w:cs="宋体"/>
                <w:sz w:val="24"/>
                <w:szCs w:val="24"/>
                <w:highlight w:val="none"/>
              </w:rPr>
            </w:pPr>
          </w:p>
        </w:tc>
      </w:tr>
      <w:tr w14:paraId="3ED9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46FAD87E">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再审阶段折扣率（%，再审阶段诉讼代理费=一、二审阶段合计诉讼代理费*折扣率）</w:t>
            </w:r>
          </w:p>
        </w:tc>
        <w:tc>
          <w:tcPr>
            <w:tcW w:w="1417" w:type="dxa"/>
          </w:tcPr>
          <w:p w14:paraId="20502CF2">
            <w:pPr>
              <w:spacing w:line="560" w:lineRule="exact"/>
              <w:rPr>
                <w:rFonts w:hint="eastAsia" w:ascii="宋体" w:hAnsi="宋体" w:eastAsia="宋体" w:cs="宋体"/>
                <w:sz w:val="24"/>
                <w:szCs w:val="24"/>
                <w:highlight w:val="none"/>
              </w:rPr>
            </w:pPr>
          </w:p>
        </w:tc>
      </w:tr>
    </w:tbl>
    <w:p w14:paraId="26155FBC">
      <w:pPr>
        <w:spacing w:line="560" w:lineRule="exact"/>
        <w:rPr>
          <w:rFonts w:hint="eastAsia" w:ascii="宋体" w:hAnsi="宋体" w:eastAsia="宋体" w:cs="宋体"/>
          <w:sz w:val="24"/>
          <w:szCs w:val="24"/>
          <w:highlight w:val="none"/>
        </w:rPr>
      </w:pPr>
    </w:p>
    <w:p w14:paraId="1AD29947">
      <w:pPr>
        <w:spacing w:line="560" w:lineRule="exac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医疗损害责任纠纷之外民事案件诉讼代理费：1.基础代理费</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2.折扣率</w:t>
      </w:r>
      <w:r>
        <w:rPr>
          <w:rFonts w:hint="eastAsia" w:ascii="宋体" w:hAnsi="宋体" w:eastAsia="宋体" w:cs="宋体"/>
          <w:b/>
          <w:bCs/>
          <w:sz w:val="24"/>
          <w:szCs w:val="24"/>
          <w:highlight w:val="none"/>
          <w:lang w:eastAsia="zh-CN"/>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3"/>
        <w:gridCol w:w="1417"/>
      </w:tblGrid>
      <w:tr w14:paraId="7C1E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5A9CDE9E">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类别</w:t>
            </w:r>
          </w:p>
        </w:tc>
        <w:tc>
          <w:tcPr>
            <w:tcW w:w="1417" w:type="dxa"/>
          </w:tcPr>
          <w:p w14:paraId="4F153854">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r>
      <w:tr w14:paraId="08F1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42135296">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基础代理费（最高限价5千元）</w:t>
            </w:r>
          </w:p>
        </w:tc>
        <w:tc>
          <w:tcPr>
            <w:tcW w:w="1417" w:type="dxa"/>
          </w:tcPr>
          <w:p w14:paraId="7A5423DF">
            <w:pPr>
              <w:spacing w:line="560" w:lineRule="exact"/>
              <w:rPr>
                <w:rFonts w:hint="eastAsia" w:ascii="宋体" w:hAnsi="宋体" w:eastAsia="宋体" w:cs="宋体"/>
                <w:sz w:val="24"/>
                <w:szCs w:val="24"/>
                <w:highlight w:val="none"/>
              </w:rPr>
            </w:pPr>
          </w:p>
        </w:tc>
      </w:tr>
      <w:tr w14:paraId="07D1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tcPr>
          <w:p w14:paraId="569A17EB">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折扣率（%）</w:t>
            </w:r>
          </w:p>
        </w:tc>
        <w:tc>
          <w:tcPr>
            <w:tcW w:w="1417" w:type="dxa"/>
          </w:tcPr>
          <w:p w14:paraId="7094641D">
            <w:pPr>
              <w:spacing w:line="560" w:lineRule="exact"/>
              <w:rPr>
                <w:rFonts w:hint="eastAsia" w:ascii="宋体" w:hAnsi="宋体" w:eastAsia="宋体" w:cs="宋体"/>
                <w:sz w:val="24"/>
                <w:szCs w:val="24"/>
                <w:highlight w:val="none"/>
              </w:rPr>
            </w:pPr>
          </w:p>
        </w:tc>
      </w:tr>
    </w:tbl>
    <w:p w14:paraId="2DF63D5D">
      <w:pPr>
        <w:spacing w:line="5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536"/>
        <w:gridCol w:w="1559"/>
        <w:gridCol w:w="1417"/>
      </w:tblGrid>
      <w:tr w14:paraId="560C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14:paraId="3AF14C64">
            <w:pPr>
              <w:spacing w:line="5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医疗损害责任纠纷之外民事案件诉讼代理费</w:t>
            </w:r>
          </w:p>
        </w:tc>
      </w:tr>
      <w:tr w14:paraId="734E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32DA3B68">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分段</w:t>
            </w:r>
          </w:p>
        </w:tc>
        <w:tc>
          <w:tcPr>
            <w:tcW w:w="4536" w:type="dxa"/>
          </w:tcPr>
          <w:p w14:paraId="7925C2D2">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争议标的</w:t>
            </w:r>
          </w:p>
        </w:tc>
        <w:tc>
          <w:tcPr>
            <w:tcW w:w="1559" w:type="dxa"/>
          </w:tcPr>
          <w:p w14:paraId="38AFDB6A">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院定费率</w:t>
            </w:r>
          </w:p>
        </w:tc>
        <w:tc>
          <w:tcPr>
            <w:tcW w:w="1417" w:type="dxa"/>
          </w:tcPr>
          <w:p w14:paraId="4D81455A">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折扣率</w:t>
            </w:r>
          </w:p>
        </w:tc>
      </w:tr>
      <w:tr w14:paraId="437C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33B8ED7F">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一段</w:t>
            </w:r>
          </w:p>
        </w:tc>
        <w:tc>
          <w:tcPr>
            <w:tcW w:w="4536" w:type="dxa"/>
          </w:tcPr>
          <w:p w14:paraId="587BF0DC">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10万元（不含）-50万元（含）</w:t>
            </w:r>
          </w:p>
        </w:tc>
        <w:tc>
          <w:tcPr>
            <w:tcW w:w="1559" w:type="dxa"/>
          </w:tcPr>
          <w:p w14:paraId="25D40BF4">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17" w:type="dxa"/>
            <w:vMerge w:val="restart"/>
            <w:vAlign w:val="center"/>
          </w:tcPr>
          <w:p w14:paraId="52DB55EC">
            <w:pPr>
              <w:spacing w:line="560" w:lineRule="exact"/>
              <w:rPr>
                <w:rFonts w:hint="eastAsia" w:ascii="宋体" w:hAnsi="宋体" w:eastAsia="宋体" w:cs="宋体"/>
                <w:sz w:val="24"/>
                <w:szCs w:val="24"/>
                <w:highlight w:val="none"/>
              </w:rPr>
            </w:pPr>
          </w:p>
        </w:tc>
      </w:tr>
      <w:tr w14:paraId="5DB3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0CF537FD">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二段</w:t>
            </w:r>
          </w:p>
        </w:tc>
        <w:tc>
          <w:tcPr>
            <w:tcW w:w="4536" w:type="dxa"/>
          </w:tcPr>
          <w:p w14:paraId="36719E15">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50万元（不含）-100万元（含）</w:t>
            </w:r>
          </w:p>
        </w:tc>
        <w:tc>
          <w:tcPr>
            <w:tcW w:w="1559" w:type="dxa"/>
          </w:tcPr>
          <w:p w14:paraId="3FCA55CF">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417" w:type="dxa"/>
            <w:vMerge w:val="continue"/>
          </w:tcPr>
          <w:p w14:paraId="504AB94B">
            <w:pPr>
              <w:spacing w:line="560" w:lineRule="exact"/>
              <w:rPr>
                <w:rFonts w:hint="eastAsia" w:ascii="宋体" w:hAnsi="宋体" w:eastAsia="宋体" w:cs="宋体"/>
                <w:sz w:val="24"/>
                <w:szCs w:val="24"/>
                <w:highlight w:val="none"/>
              </w:rPr>
            </w:pPr>
          </w:p>
        </w:tc>
      </w:tr>
      <w:tr w14:paraId="370E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45017C91">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三段</w:t>
            </w:r>
          </w:p>
        </w:tc>
        <w:tc>
          <w:tcPr>
            <w:tcW w:w="4536" w:type="dxa"/>
          </w:tcPr>
          <w:p w14:paraId="6514998B">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100万元（不含）-500万元（含）</w:t>
            </w:r>
          </w:p>
        </w:tc>
        <w:tc>
          <w:tcPr>
            <w:tcW w:w="1559" w:type="dxa"/>
          </w:tcPr>
          <w:p w14:paraId="625365A7">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17" w:type="dxa"/>
            <w:vMerge w:val="continue"/>
          </w:tcPr>
          <w:p w14:paraId="346F90AF">
            <w:pPr>
              <w:spacing w:line="560" w:lineRule="exact"/>
              <w:rPr>
                <w:rFonts w:hint="eastAsia" w:ascii="宋体" w:hAnsi="宋体" w:eastAsia="宋体" w:cs="宋体"/>
                <w:sz w:val="24"/>
                <w:szCs w:val="24"/>
                <w:highlight w:val="none"/>
              </w:rPr>
            </w:pPr>
          </w:p>
        </w:tc>
      </w:tr>
      <w:tr w14:paraId="5797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3CD23926">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四段</w:t>
            </w:r>
          </w:p>
        </w:tc>
        <w:tc>
          <w:tcPr>
            <w:tcW w:w="4536" w:type="dxa"/>
          </w:tcPr>
          <w:p w14:paraId="67E730E8">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500万元</w:t>
            </w:r>
            <w:bookmarkStart w:id="67" w:name="OLE_LINK10"/>
            <w:r>
              <w:rPr>
                <w:rFonts w:hint="eastAsia" w:ascii="宋体" w:hAnsi="宋体" w:eastAsia="宋体" w:cs="宋体"/>
                <w:sz w:val="24"/>
                <w:szCs w:val="24"/>
                <w:highlight w:val="none"/>
              </w:rPr>
              <w:t>（不含）</w:t>
            </w:r>
            <w:bookmarkEnd w:id="67"/>
            <w:r>
              <w:rPr>
                <w:rFonts w:hint="eastAsia" w:ascii="宋体" w:hAnsi="宋体" w:eastAsia="宋体" w:cs="宋体"/>
                <w:sz w:val="24"/>
                <w:szCs w:val="24"/>
                <w:highlight w:val="none"/>
              </w:rPr>
              <w:t>-1000万元（含）</w:t>
            </w:r>
          </w:p>
        </w:tc>
        <w:tc>
          <w:tcPr>
            <w:tcW w:w="1559" w:type="dxa"/>
          </w:tcPr>
          <w:p w14:paraId="2B4C26C6">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0.5%</w:t>
            </w:r>
          </w:p>
        </w:tc>
        <w:tc>
          <w:tcPr>
            <w:tcW w:w="1417" w:type="dxa"/>
            <w:vMerge w:val="continue"/>
          </w:tcPr>
          <w:p w14:paraId="23784263">
            <w:pPr>
              <w:spacing w:line="560" w:lineRule="exact"/>
              <w:rPr>
                <w:rFonts w:hint="eastAsia" w:ascii="宋体" w:hAnsi="宋体" w:eastAsia="宋体" w:cs="宋体"/>
                <w:sz w:val="24"/>
                <w:szCs w:val="24"/>
                <w:highlight w:val="none"/>
              </w:rPr>
            </w:pPr>
          </w:p>
        </w:tc>
      </w:tr>
      <w:tr w14:paraId="5D2E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E51CCEA">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五段</w:t>
            </w:r>
          </w:p>
        </w:tc>
        <w:tc>
          <w:tcPr>
            <w:tcW w:w="4536" w:type="dxa"/>
          </w:tcPr>
          <w:p w14:paraId="532F1768">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1000万元（不含）以上</w:t>
            </w:r>
          </w:p>
        </w:tc>
        <w:tc>
          <w:tcPr>
            <w:tcW w:w="1559" w:type="dxa"/>
          </w:tcPr>
          <w:p w14:paraId="50A1C7EC">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0.4%</w:t>
            </w:r>
          </w:p>
        </w:tc>
        <w:tc>
          <w:tcPr>
            <w:tcW w:w="1417" w:type="dxa"/>
            <w:vMerge w:val="continue"/>
          </w:tcPr>
          <w:p w14:paraId="697F8C16">
            <w:pPr>
              <w:spacing w:line="560" w:lineRule="exact"/>
              <w:rPr>
                <w:rFonts w:hint="eastAsia" w:ascii="宋体" w:hAnsi="宋体" w:eastAsia="宋体" w:cs="宋体"/>
                <w:sz w:val="24"/>
                <w:szCs w:val="24"/>
                <w:highlight w:val="none"/>
              </w:rPr>
            </w:pPr>
          </w:p>
        </w:tc>
      </w:tr>
      <w:tr w14:paraId="1D08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14:paraId="3E7E7FF9">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1.如争议标的为200万元，投标单位报价折扣率80%，</w:t>
            </w:r>
          </w:p>
          <w:p w14:paraId="248E0F30">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则最终收费为:基础代理费+（40万*2%+50万*1.5%+100万*1%)*80%=基本代理费+20400元）。</w:t>
            </w:r>
          </w:p>
          <w:p w14:paraId="76C71A3C">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2.单个案件最终收费不高于15万元，包括一审、二审,以及有可能产生的再审、发回重审、执行等程序，以最终结案的法律文书为准。</w:t>
            </w:r>
          </w:p>
          <w:p w14:paraId="29F0FC37">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3.根据案件实际情况,经采购人同意，律所可以安排常年法律顾问团队以外的具有专业知识的本所执业律师代理相关案件。</w:t>
            </w:r>
          </w:p>
        </w:tc>
      </w:tr>
    </w:tbl>
    <w:p w14:paraId="0A798B3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highlight w:val="none"/>
        </w:rPr>
      </w:pPr>
    </w:p>
    <w:p w14:paraId="60AD8082">
      <w:pPr>
        <w:keepNext w:val="0"/>
        <w:keepLines w:val="0"/>
        <w:pageBreakBefore w:val="0"/>
        <w:widowControl w:val="0"/>
        <w:kinsoku/>
        <w:wordWrap/>
        <w:overflowPunct/>
        <w:topLinePunct w:val="0"/>
        <w:autoSpaceDE/>
        <w:autoSpaceDN/>
        <w:bidi w:val="0"/>
        <w:adjustRightInd/>
        <w:snapToGrid/>
        <w:spacing w:line="500" w:lineRule="exact"/>
        <w:ind w:firstLine="5760" w:firstLineChars="2400"/>
        <w:jc w:val="left"/>
        <w:textAlignment w:val="auto"/>
        <w:rPr>
          <w:rFonts w:hint="eastAsia" w:ascii="宋体"/>
          <w:sz w:val="24"/>
          <w:highlight w:val="none"/>
        </w:rPr>
      </w:pPr>
      <w:r>
        <w:rPr>
          <w:rFonts w:hint="eastAsia" w:ascii="宋体"/>
          <w:sz w:val="24"/>
          <w:highlight w:val="none"/>
        </w:rPr>
        <w:t xml:space="preserve">                                              </w:t>
      </w:r>
    </w:p>
    <w:p w14:paraId="7186FF8E">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00DFD36D">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3D69919">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78BCAC20">
      <w:pPr>
        <w:spacing w:line="360" w:lineRule="auto"/>
        <w:jc w:val="center"/>
        <w:outlineLvl w:val="0"/>
        <w:rPr>
          <w:rFonts w:ascii="宋体" w:hAnsi="宋体" w:eastAsia="宋体"/>
          <w:b/>
          <w:bCs/>
          <w:color w:val="auto"/>
          <w:sz w:val="28"/>
          <w:highlight w:val="none"/>
        </w:rPr>
      </w:pPr>
      <w:r>
        <w:rPr>
          <w:rFonts w:hint="eastAsia" w:ascii="宋体" w:hAnsi="宋体" w:eastAsia="宋体"/>
          <w:b/>
          <w:color w:val="auto"/>
          <w:sz w:val="28"/>
          <w:highlight w:val="none"/>
        </w:rPr>
        <w:t>第</w:t>
      </w:r>
      <w:r>
        <w:rPr>
          <w:rFonts w:hint="eastAsia" w:ascii="宋体" w:hAnsi="宋体" w:eastAsia="宋体"/>
          <w:b/>
          <w:color w:val="auto"/>
          <w:sz w:val="28"/>
          <w:highlight w:val="none"/>
          <w:lang w:val="en-US" w:eastAsia="zh-CN"/>
        </w:rPr>
        <w:t>七</w:t>
      </w:r>
      <w:r>
        <w:rPr>
          <w:rFonts w:hint="eastAsia" w:ascii="宋体" w:hAnsi="宋体" w:eastAsia="宋体"/>
          <w:b/>
          <w:color w:val="auto"/>
          <w:sz w:val="28"/>
          <w:highlight w:val="none"/>
        </w:rPr>
        <w:t>章</w:t>
      </w:r>
      <w:r>
        <w:rPr>
          <w:rFonts w:hint="eastAsia" w:ascii="宋体" w:hAnsi="宋体" w:eastAsia="宋体"/>
          <w:b/>
          <w:bCs/>
          <w:color w:val="auto"/>
          <w:sz w:val="28"/>
          <w:highlight w:val="none"/>
        </w:rPr>
        <w:t xml:space="preserve">  政府采购</w:t>
      </w:r>
      <w:r>
        <w:rPr>
          <w:rFonts w:hint="eastAsia" w:ascii="宋体" w:hAnsi="宋体" w:eastAsia="宋体"/>
          <w:b/>
          <w:color w:val="auto"/>
          <w:sz w:val="28"/>
          <w:highlight w:val="none"/>
        </w:rPr>
        <w:t>供应</w:t>
      </w:r>
      <w:r>
        <w:rPr>
          <w:rFonts w:hint="eastAsia" w:ascii="宋体" w:hAnsi="宋体" w:eastAsia="宋体"/>
          <w:b/>
          <w:bCs/>
          <w:color w:val="auto"/>
          <w:sz w:val="28"/>
          <w:highlight w:val="none"/>
        </w:rPr>
        <w:t>商询问函和质疑函范本</w:t>
      </w:r>
      <w:bookmarkEnd w:id="61"/>
      <w:bookmarkEnd w:id="62"/>
    </w:p>
    <w:p w14:paraId="71EF8227">
      <w:pPr>
        <w:spacing w:line="360" w:lineRule="auto"/>
        <w:jc w:val="center"/>
        <w:outlineLvl w:val="1"/>
        <w:rPr>
          <w:rFonts w:ascii="仿宋" w:hAnsi="仿宋" w:eastAsia="仿宋" w:cs="仿宋"/>
          <w:b/>
          <w:bCs/>
          <w:color w:val="auto"/>
          <w:sz w:val="32"/>
          <w:szCs w:val="44"/>
          <w:highlight w:val="none"/>
        </w:rPr>
      </w:pPr>
      <w:bookmarkStart w:id="68" w:name="_Toc27159"/>
      <w:bookmarkStart w:id="69" w:name="_Toc27489"/>
      <w:r>
        <w:rPr>
          <w:rFonts w:hint="eastAsia" w:ascii="仿宋" w:hAnsi="仿宋" w:eastAsia="仿宋" w:cs="仿宋"/>
          <w:b/>
          <w:bCs/>
          <w:color w:val="auto"/>
          <w:sz w:val="32"/>
          <w:szCs w:val="44"/>
          <w:highlight w:val="none"/>
        </w:rPr>
        <w:t>询问函范本</w:t>
      </w:r>
      <w:bookmarkEnd w:id="68"/>
      <w:bookmarkEnd w:id="69"/>
    </w:p>
    <w:p w14:paraId="4D574268">
      <w:pPr>
        <w:adjustRightInd w:val="0"/>
        <w:snapToGrid w:val="0"/>
        <w:spacing w:line="360" w:lineRule="auto"/>
        <w:rPr>
          <w:rFonts w:hint="eastAsia" w:ascii="宋体" w:hAnsi="宋体" w:eastAsia="宋体" w:cs="仿宋"/>
          <w:b/>
          <w:bCs/>
          <w:color w:val="auto"/>
          <w:sz w:val="24"/>
          <w:szCs w:val="24"/>
          <w:highlight w:val="none"/>
          <w:u w:val="single"/>
          <w:lang w:eastAsia="zh-CN"/>
        </w:rPr>
      </w:pPr>
      <w:r>
        <w:rPr>
          <w:rFonts w:hint="eastAsia" w:ascii="宋体" w:hAnsi="宋体" w:eastAsia="宋体" w:cs="仿宋"/>
          <w:b/>
          <w:bCs/>
          <w:color w:val="auto"/>
          <w:sz w:val="24"/>
          <w:szCs w:val="24"/>
          <w:highlight w:val="none"/>
          <w:lang w:val="en-US" w:eastAsia="zh-CN"/>
        </w:rPr>
        <w:t>致：</w:t>
      </w:r>
      <w:r>
        <w:rPr>
          <w:rFonts w:hint="eastAsia" w:ascii="宋体" w:hAnsi="宋体" w:eastAsia="宋体" w:cs="仿宋"/>
          <w:b/>
          <w:bCs/>
          <w:color w:val="auto"/>
          <w:sz w:val="24"/>
          <w:szCs w:val="24"/>
          <w:highlight w:val="none"/>
          <w:u w:val="none"/>
          <w:lang w:eastAsia="zh-CN"/>
        </w:rPr>
        <w:t>采购人</w:t>
      </w:r>
    </w:p>
    <w:p w14:paraId="036C15C8">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i/>
          <w:iCs/>
          <w:color w:val="auto"/>
          <w:sz w:val="24"/>
          <w:szCs w:val="24"/>
          <w:highlight w:val="none"/>
          <w:u w:val="none"/>
          <w:lang w:val="en-US" w:eastAsia="zh-CN"/>
        </w:rPr>
        <w:t>项目名称、编号</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color w:val="auto"/>
          <w:sz w:val="24"/>
          <w:szCs w:val="24"/>
          <w:highlight w:val="none"/>
        </w:rPr>
        <w:t>的采购活动，现有以下内容(或条款)存在疑问(或无法理解)，特提出询问。</w:t>
      </w:r>
    </w:p>
    <w:p w14:paraId="4DAEA39A">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0" w:name="_Toc13899"/>
      <w:r>
        <w:rPr>
          <w:rFonts w:hint="eastAsia" w:ascii="宋体" w:hAnsi="宋体" w:eastAsia="宋体" w:cs="仿宋"/>
          <w:color w:val="auto"/>
          <w:sz w:val="24"/>
          <w:szCs w:val="24"/>
          <w:highlight w:val="none"/>
        </w:rPr>
        <w:t>一、(事项一)</w:t>
      </w:r>
      <w:bookmarkEnd w:id="70"/>
    </w:p>
    <w:p w14:paraId="6881AA50">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6A2E6C89">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3E2B797A">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67981975">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 w:name="_Toc3352"/>
      <w:r>
        <w:rPr>
          <w:rFonts w:hint="eastAsia" w:ascii="宋体" w:hAnsi="宋体" w:eastAsia="宋体" w:cs="仿宋"/>
          <w:color w:val="auto"/>
          <w:sz w:val="24"/>
          <w:szCs w:val="24"/>
          <w:highlight w:val="none"/>
        </w:rPr>
        <w:t>二、(事项二)</w:t>
      </w:r>
      <w:bookmarkEnd w:id="71"/>
    </w:p>
    <w:p w14:paraId="3CA5CA58">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555F4D51">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7ECDBD17">
      <w:pPr>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联 系 人：</w:t>
      </w:r>
      <w:r>
        <w:rPr>
          <w:rFonts w:hint="eastAsia" w:ascii="宋体" w:hAnsi="宋体" w:eastAsia="宋体"/>
          <w:color w:val="auto"/>
          <w:sz w:val="24"/>
          <w:highlight w:val="none"/>
          <w:u w:val="single"/>
        </w:rPr>
        <w:t xml:space="preserve">              </w:t>
      </w:r>
    </w:p>
    <w:p w14:paraId="233A7EE8">
      <w:pPr>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联系电话：</w:t>
      </w:r>
      <w:r>
        <w:rPr>
          <w:rFonts w:hint="eastAsia" w:ascii="宋体" w:hAnsi="宋体" w:eastAsia="宋体"/>
          <w:color w:val="auto"/>
          <w:sz w:val="24"/>
          <w:highlight w:val="none"/>
          <w:u w:val="single"/>
        </w:rPr>
        <w:t xml:space="preserve">              </w:t>
      </w:r>
    </w:p>
    <w:p w14:paraId="42205D5D">
      <w:pPr>
        <w:tabs>
          <w:tab w:val="left" w:pos="630"/>
        </w:tabs>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431A2EB8">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0C5AD557">
      <w:pPr>
        <w:jc w:val="center"/>
        <w:outlineLvl w:val="1"/>
        <w:rPr>
          <w:rFonts w:ascii="仿宋" w:hAnsi="仿宋" w:eastAsia="仿宋" w:cs="仿宋"/>
          <w:b/>
          <w:bCs/>
          <w:color w:val="auto"/>
          <w:sz w:val="32"/>
          <w:szCs w:val="44"/>
          <w:highlight w:val="none"/>
        </w:rPr>
      </w:pPr>
      <w:bookmarkStart w:id="72" w:name="_Toc1575"/>
      <w:bookmarkStart w:id="73" w:name="_Toc3245"/>
      <w:r>
        <w:rPr>
          <w:rFonts w:hint="eastAsia" w:ascii="仿宋" w:hAnsi="仿宋" w:eastAsia="仿宋" w:cs="仿宋"/>
          <w:b/>
          <w:bCs/>
          <w:color w:val="auto"/>
          <w:sz w:val="32"/>
          <w:szCs w:val="44"/>
          <w:highlight w:val="none"/>
        </w:rPr>
        <w:t>质疑函范本</w:t>
      </w:r>
      <w:bookmarkEnd w:id="72"/>
      <w:bookmarkEnd w:id="73"/>
    </w:p>
    <w:p w14:paraId="39BEB70F">
      <w:pPr>
        <w:adjustRightInd w:val="0"/>
        <w:snapToGrid w:val="0"/>
        <w:spacing w:before="312" w:beforeLines="100" w:line="360" w:lineRule="auto"/>
        <w:outlineLvl w:val="9"/>
        <w:rPr>
          <w:rFonts w:ascii="宋体" w:hAnsi="宋体" w:eastAsia="宋体" w:cs="仿宋"/>
          <w:b/>
          <w:bCs/>
          <w:color w:val="auto"/>
          <w:sz w:val="24"/>
          <w:szCs w:val="24"/>
          <w:highlight w:val="none"/>
        </w:rPr>
      </w:pPr>
      <w:bookmarkStart w:id="74" w:name="_Toc21381"/>
      <w:r>
        <w:rPr>
          <w:rFonts w:hint="eastAsia" w:ascii="宋体" w:hAnsi="宋体" w:eastAsia="宋体" w:cs="仿宋"/>
          <w:b/>
          <w:bCs/>
          <w:color w:val="auto"/>
          <w:sz w:val="24"/>
          <w:szCs w:val="24"/>
          <w:highlight w:val="none"/>
        </w:rPr>
        <w:t>一、质疑供应商基本信息</w:t>
      </w:r>
      <w:bookmarkEnd w:id="74"/>
    </w:p>
    <w:p w14:paraId="3906593B">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36F36EE0">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095280B5">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2B4D7F01">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1BE6D3E7">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r>
        <w:rPr>
          <w:rFonts w:ascii="宋体" w:hAnsi="宋体" w:eastAsia="宋体" w:cs="仿宋"/>
          <w:color w:val="auto"/>
          <w:sz w:val="24"/>
          <w:szCs w:val="24"/>
          <w:highlight w:val="none"/>
        </w:rPr>
        <w:t xml:space="preserve"> </w:t>
      </w:r>
    </w:p>
    <w:p w14:paraId="073A3552">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581A0ED3">
      <w:pPr>
        <w:adjustRightInd w:val="0"/>
        <w:snapToGrid w:val="0"/>
        <w:spacing w:line="360" w:lineRule="auto"/>
        <w:outlineLvl w:val="9"/>
        <w:rPr>
          <w:rFonts w:ascii="宋体" w:hAnsi="宋体" w:eastAsia="宋体" w:cs="仿宋"/>
          <w:b/>
          <w:bCs/>
          <w:color w:val="auto"/>
          <w:sz w:val="24"/>
          <w:szCs w:val="24"/>
          <w:highlight w:val="none"/>
        </w:rPr>
      </w:pPr>
      <w:bookmarkStart w:id="75" w:name="_Toc28415"/>
      <w:r>
        <w:rPr>
          <w:rFonts w:hint="eastAsia" w:ascii="宋体" w:hAnsi="宋体" w:eastAsia="宋体" w:cs="仿宋"/>
          <w:b/>
          <w:bCs/>
          <w:color w:val="auto"/>
          <w:sz w:val="24"/>
          <w:szCs w:val="24"/>
          <w:highlight w:val="none"/>
        </w:rPr>
        <w:t>二、质疑项目基本情况</w:t>
      </w:r>
      <w:bookmarkEnd w:id="75"/>
    </w:p>
    <w:p w14:paraId="6DC9BF67">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25F5DBB6">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4DF2A235">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3255E4B1">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760879F3">
      <w:pPr>
        <w:adjustRightInd w:val="0"/>
        <w:snapToGrid w:val="0"/>
        <w:spacing w:line="360" w:lineRule="auto"/>
        <w:outlineLvl w:val="9"/>
        <w:rPr>
          <w:rFonts w:ascii="宋体" w:hAnsi="宋体" w:eastAsia="宋体" w:cs="仿宋"/>
          <w:b/>
          <w:bCs/>
          <w:color w:val="auto"/>
          <w:sz w:val="24"/>
          <w:szCs w:val="24"/>
          <w:highlight w:val="none"/>
        </w:rPr>
      </w:pPr>
      <w:bookmarkStart w:id="76" w:name="_Toc19014"/>
      <w:r>
        <w:rPr>
          <w:rFonts w:hint="eastAsia" w:ascii="宋体" w:hAnsi="宋体" w:eastAsia="宋体" w:cs="仿宋"/>
          <w:b/>
          <w:bCs/>
          <w:color w:val="auto"/>
          <w:sz w:val="24"/>
          <w:szCs w:val="24"/>
          <w:highlight w:val="none"/>
        </w:rPr>
        <w:t>三、质疑事项具体内容</w:t>
      </w:r>
      <w:bookmarkEnd w:id="76"/>
    </w:p>
    <w:p w14:paraId="503920F1">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12E861A9">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60932DB6">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0AFF71F6">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143771FD">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1040DB02">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4B3811E0">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0F97527E">
      <w:pPr>
        <w:adjustRightInd w:val="0"/>
        <w:snapToGrid w:val="0"/>
        <w:spacing w:line="360" w:lineRule="auto"/>
        <w:outlineLvl w:val="9"/>
        <w:rPr>
          <w:rFonts w:ascii="宋体" w:hAnsi="宋体" w:eastAsia="宋体" w:cs="仿宋"/>
          <w:b/>
          <w:bCs/>
          <w:color w:val="auto"/>
          <w:sz w:val="24"/>
          <w:szCs w:val="24"/>
          <w:highlight w:val="none"/>
        </w:rPr>
      </w:pPr>
      <w:bookmarkStart w:id="77" w:name="_Toc17919"/>
      <w:r>
        <w:rPr>
          <w:rFonts w:hint="eastAsia" w:ascii="宋体" w:hAnsi="宋体" w:eastAsia="宋体" w:cs="仿宋"/>
          <w:b/>
          <w:bCs/>
          <w:color w:val="auto"/>
          <w:sz w:val="24"/>
          <w:szCs w:val="24"/>
          <w:highlight w:val="none"/>
        </w:rPr>
        <w:t>四、与质疑事项相关的质疑请求</w:t>
      </w:r>
      <w:bookmarkEnd w:id="77"/>
    </w:p>
    <w:p w14:paraId="56F99736">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37F30310">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3F9568FA">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61DC14BE">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3D85309">
      <w:pPr>
        <w:outlineLvl w:val="0"/>
        <w:rPr>
          <w:rFonts w:ascii="宋体" w:hAnsi="宋体" w:eastAsia="宋体"/>
          <w:b/>
          <w:color w:val="auto"/>
          <w:sz w:val="28"/>
          <w:szCs w:val="32"/>
          <w:highlight w:val="none"/>
        </w:rPr>
      </w:pPr>
      <w:bookmarkStart w:id="78" w:name="_Toc26836"/>
      <w:bookmarkStart w:id="79" w:name="_Toc9754"/>
      <w:r>
        <w:rPr>
          <w:rFonts w:hint="eastAsia" w:ascii="宋体" w:hAnsi="宋体" w:eastAsia="宋体"/>
          <w:b/>
          <w:color w:val="auto"/>
          <w:sz w:val="28"/>
          <w:szCs w:val="32"/>
          <w:highlight w:val="none"/>
        </w:rPr>
        <w:t>质疑函制作说明：</w:t>
      </w:r>
      <w:bookmarkEnd w:id="78"/>
      <w:bookmarkEnd w:id="79"/>
    </w:p>
    <w:p w14:paraId="038BAB5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1.供应商提出质疑时，应提交质疑函和必要的证明材料。</w:t>
      </w:r>
    </w:p>
    <w:p w14:paraId="5902FD0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B916BF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3.质疑供应商若对项目的某一分包进行质疑，质疑函中应列明具体分包号。</w:t>
      </w:r>
    </w:p>
    <w:p w14:paraId="760AD59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4.质疑函的质疑事项应具体、明确，并有必要的事实依据和法律依据。</w:t>
      </w:r>
    </w:p>
    <w:p w14:paraId="58AB32C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5.质疑函的质疑请求应与质疑事项相关。</w:t>
      </w:r>
    </w:p>
    <w:p w14:paraId="6A7317D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3288">
    <w:pPr>
      <w:pStyle w:val="14"/>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D400">
    <w:pPr>
      <w:pStyle w:val="1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B5DFF0">
                          <w:pPr>
                            <w:pStyle w:val="1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BB5DFF0">
                    <w:pPr>
                      <w:pStyle w:val="1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699C7">
    <w:pPr>
      <w:pStyle w:val="14"/>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F600D8F">
                          <w:pPr>
                            <w:pStyle w:val="14"/>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qI2Sb0QEAAJ4DAAAOAAAAAAAAAAEAIAAAAB8BAABk&#10;cnMvZTJvRG9jLnhtbFBLBQYAAAAABgAGAFkBAABiBQAAAAA=&#10;">
              <v:fill on="f" focussize="0,0"/>
              <v:stroke on="f"/>
              <v:imagedata o:title=""/>
              <o:lock v:ext="edit" aspectratio="f"/>
              <v:textbox inset="0mm,0mm,0mm,0mm" style="mso-fit-shape-to-text:t;">
                <w:txbxContent>
                  <w:p w14:paraId="5F600D8F">
                    <w:pPr>
                      <w:pStyle w:val="14"/>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B24F">
    <w:pPr>
      <w:pStyle w:val="15"/>
      <w:jc w:val="left"/>
      <w:rPr>
        <w:rFonts w:ascii="宋体" w:hAnsi="宋体" w:eastAsia="宋体"/>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服务类</w:t>
    </w:r>
    <w:r>
      <w:rPr>
        <w:rFonts w:hint="eastAsia" w:ascii="宋体" w:hAnsi="宋体" w:eastAsia="宋体"/>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5158F">
    <w:pPr>
      <w:pStyle w:val="15"/>
      <w:jc w:val="left"/>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服务类</w:t>
    </w:r>
    <w:r>
      <w:rPr>
        <w:rFonts w:hint="eastAsia" w:ascii="宋体" w:hAnsi="宋体"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F3E0F">
    <w:pPr>
      <w:pStyle w:val="15"/>
      <w:jc w:val="left"/>
      <w:rPr>
        <w:rFonts w:hint="eastAsia"/>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服务类</w:t>
    </w:r>
    <w:r>
      <w:rPr>
        <w:rFonts w:hint="eastAsia" w:ascii="宋体" w:hAnsi="宋体" w:eastAsia="宋体"/>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MDM3ZmYxNDQ4Mjg3MDY3ZGJjOTVkODJjNTRhYTcifQ=="/>
  </w:docVars>
  <w:rsids>
    <w:rsidRoot w:val="00000000"/>
    <w:rsid w:val="00135135"/>
    <w:rsid w:val="01B3556A"/>
    <w:rsid w:val="01E25ABE"/>
    <w:rsid w:val="034D095E"/>
    <w:rsid w:val="03A82CAD"/>
    <w:rsid w:val="05231A81"/>
    <w:rsid w:val="0A6749FB"/>
    <w:rsid w:val="0D5A0848"/>
    <w:rsid w:val="0E6250D9"/>
    <w:rsid w:val="0E8E5325"/>
    <w:rsid w:val="0FF60A2B"/>
    <w:rsid w:val="10026281"/>
    <w:rsid w:val="11863AA2"/>
    <w:rsid w:val="11B524F0"/>
    <w:rsid w:val="11DD06AB"/>
    <w:rsid w:val="12ED713D"/>
    <w:rsid w:val="142E658A"/>
    <w:rsid w:val="14A64372"/>
    <w:rsid w:val="14ED3D4F"/>
    <w:rsid w:val="15B336AA"/>
    <w:rsid w:val="161146EA"/>
    <w:rsid w:val="1695469E"/>
    <w:rsid w:val="175E7186"/>
    <w:rsid w:val="17B80644"/>
    <w:rsid w:val="1B7F43CE"/>
    <w:rsid w:val="1BAD248A"/>
    <w:rsid w:val="1C5E2AD9"/>
    <w:rsid w:val="1C8A6328"/>
    <w:rsid w:val="1C9F6277"/>
    <w:rsid w:val="1DD41278"/>
    <w:rsid w:val="1E081BFA"/>
    <w:rsid w:val="1E9B2A6E"/>
    <w:rsid w:val="20586E69"/>
    <w:rsid w:val="20E63CC8"/>
    <w:rsid w:val="21374CD0"/>
    <w:rsid w:val="22A5210D"/>
    <w:rsid w:val="233A2855"/>
    <w:rsid w:val="24013373"/>
    <w:rsid w:val="25FE400E"/>
    <w:rsid w:val="26AA7F33"/>
    <w:rsid w:val="27AB1F74"/>
    <w:rsid w:val="27FF4722"/>
    <w:rsid w:val="290367D4"/>
    <w:rsid w:val="297B3BC8"/>
    <w:rsid w:val="29F3375E"/>
    <w:rsid w:val="2A025DDB"/>
    <w:rsid w:val="2A375015"/>
    <w:rsid w:val="2A9905A4"/>
    <w:rsid w:val="2B011EAB"/>
    <w:rsid w:val="2DE4256B"/>
    <w:rsid w:val="2EB060C2"/>
    <w:rsid w:val="30442B30"/>
    <w:rsid w:val="311A0999"/>
    <w:rsid w:val="319475D5"/>
    <w:rsid w:val="35EE1D4B"/>
    <w:rsid w:val="39810D86"/>
    <w:rsid w:val="3A881CA1"/>
    <w:rsid w:val="3AF166D3"/>
    <w:rsid w:val="3B0829F6"/>
    <w:rsid w:val="3B5B7B12"/>
    <w:rsid w:val="3B7010B2"/>
    <w:rsid w:val="3B8B3D12"/>
    <w:rsid w:val="3D202664"/>
    <w:rsid w:val="3E900306"/>
    <w:rsid w:val="4004001B"/>
    <w:rsid w:val="406D3E12"/>
    <w:rsid w:val="40CD73AF"/>
    <w:rsid w:val="40F7192E"/>
    <w:rsid w:val="41846EB2"/>
    <w:rsid w:val="45455285"/>
    <w:rsid w:val="45CA5863"/>
    <w:rsid w:val="467B3C91"/>
    <w:rsid w:val="47DB3D58"/>
    <w:rsid w:val="48C12F4D"/>
    <w:rsid w:val="4A9969E8"/>
    <w:rsid w:val="4AF3565B"/>
    <w:rsid w:val="4B076EEB"/>
    <w:rsid w:val="4B7A7E93"/>
    <w:rsid w:val="4B964046"/>
    <w:rsid w:val="4C2B0BB7"/>
    <w:rsid w:val="4E5877A0"/>
    <w:rsid w:val="4F842056"/>
    <w:rsid w:val="4FE47521"/>
    <w:rsid w:val="506F4752"/>
    <w:rsid w:val="50E579F5"/>
    <w:rsid w:val="520E2096"/>
    <w:rsid w:val="55C45E2B"/>
    <w:rsid w:val="5853793A"/>
    <w:rsid w:val="5A783688"/>
    <w:rsid w:val="5CED210B"/>
    <w:rsid w:val="5DA77CEA"/>
    <w:rsid w:val="5E08087F"/>
    <w:rsid w:val="5E203E1A"/>
    <w:rsid w:val="5E504CDE"/>
    <w:rsid w:val="6111492D"/>
    <w:rsid w:val="618F36CE"/>
    <w:rsid w:val="61D75138"/>
    <w:rsid w:val="629E0205"/>
    <w:rsid w:val="68E24AEE"/>
    <w:rsid w:val="693D7F76"/>
    <w:rsid w:val="6D6C3C2F"/>
    <w:rsid w:val="6D901B30"/>
    <w:rsid w:val="6F0155A2"/>
    <w:rsid w:val="6F6607E6"/>
    <w:rsid w:val="71ED1E0E"/>
    <w:rsid w:val="73E7745D"/>
    <w:rsid w:val="74485A21"/>
    <w:rsid w:val="74F228BF"/>
    <w:rsid w:val="7554492F"/>
    <w:rsid w:val="777525E9"/>
    <w:rsid w:val="78A21D8D"/>
    <w:rsid w:val="79E27A58"/>
    <w:rsid w:val="7CEF2EDE"/>
    <w:rsid w:val="7D2D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7"/>
    <w:qFormat/>
    <w:uiPriority w:val="9"/>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b/>
      <w:bCs/>
      <w:sz w:val="28"/>
      <w:szCs w:val="28"/>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44"/>
    <w:qFormat/>
    <w:uiPriority w:val="0"/>
    <w:pPr>
      <w:jc w:val="left"/>
    </w:pPr>
    <w:rPr>
      <w:rFonts w:ascii="Arial" w:hAnsi="Arial" w:eastAsia="黑体" w:cs="Arial"/>
    </w:rPr>
  </w:style>
  <w:style w:type="paragraph" w:styleId="8">
    <w:name w:val="Body Text"/>
    <w:basedOn w:val="1"/>
    <w:qFormat/>
    <w:uiPriority w:val="0"/>
    <w:pPr>
      <w:spacing w:after="120"/>
    </w:pPr>
    <w:rPr>
      <w:rFonts w:ascii="@微软简标宋" w:hAnsi="@微软简标宋" w:eastAsia="@微软简标宋" w:cs="@微软简标宋"/>
      <w:szCs w:val="24"/>
      <w:lang w:val="zh-CN"/>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1">
    <w:name w:val="Plain Text"/>
    <w:basedOn w:val="1"/>
    <w:next w:val="1"/>
    <w:link w:val="34"/>
    <w:qFormat/>
    <w:uiPriority w:val="99"/>
    <w:rPr>
      <w:rFonts w:ascii="宋体" w:hAnsi="Courier New" w:eastAsia="宋体" w:cs="宋体"/>
      <w:szCs w:val="22"/>
    </w:rPr>
  </w:style>
  <w:style w:type="paragraph" w:styleId="12">
    <w:name w:val="Date"/>
    <w:basedOn w:val="1"/>
    <w:next w:val="1"/>
    <w:link w:val="41"/>
    <w:qFormat/>
    <w:uiPriority w:val="0"/>
    <w:rPr>
      <w:rFonts w:ascii="Arial" w:hAnsi="Arial" w:eastAsia="宋体" w:cs="Arial"/>
      <w:b/>
      <w:sz w:val="28"/>
    </w:rPr>
  </w:style>
  <w:style w:type="paragraph" w:styleId="13">
    <w:name w:val="Balloon Text"/>
    <w:basedOn w:val="1"/>
    <w:link w:val="28"/>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17">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18">
    <w:name w:val="Normal (Web)"/>
    <w:basedOn w:val="1"/>
    <w:qFormat/>
    <w:uiPriority w:val="0"/>
    <w:pPr>
      <w:spacing w:before="100" w:beforeAutospacing="1" w:after="100" w:afterAutospacing="1"/>
      <w:jc w:val="left"/>
    </w:pPr>
    <w:rPr>
      <w:rFonts w:cs="Times New Roman"/>
      <w:kern w:val="0"/>
      <w:sz w:val="24"/>
    </w:rPr>
  </w:style>
  <w:style w:type="paragraph" w:styleId="19">
    <w:name w:val="index 1"/>
    <w:basedOn w:val="1"/>
    <w:next w:val="1"/>
    <w:qFormat/>
    <w:uiPriority w:val="0"/>
    <w:pPr>
      <w:jc w:val="center"/>
    </w:pPr>
    <w:rPr>
      <w:rFonts w:ascii="Arial" w:hAnsi="Arial" w:eastAsia="Arial" w:cs="Arial"/>
      <w:b/>
      <w:bCs/>
      <w:sz w:val="28"/>
    </w:rPr>
  </w:style>
  <w:style w:type="paragraph" w:styleId="20">
    <w:name w:val="annotation subject"/>
    <w:basedOn w:val="7"/>
    <w:next w:val="7"/>
    <w:link w:val="55"/>
    <w:qFormat/>
    <w:uiPriority w:val="99"/>
    <w:rPr>
      <w:rFonts w:ascii="@仿宋_GB2312" w:hAnsi="@仿宋_GB2312" w:eastAsia="@仿宋_GB2312" w:cs="@仿宋_GB2312"/>
      <w:b/>
      <w:bCs/>
    </w:rPr>
  </w:style>
  <w:style w:type="paragraph" w:styleId="21">
    <w:name w:val="Body Text First Indent"/>
    <w:basedOn w:val="8"/>
    <w:qFormat/>
    <w:uiPriority w:val="99"/>
    <w:pPr>
      <w:ind w:firstLine="420" w:firstLineChars="1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Hyperlink"/>
    <w:basedOn w:val="24"/>
    <w:qFormat/>
    <w:uiPriority w:val="99"/>
    <w:rPr>
      <w:color w:val="0000FF"/>
      <w:u w:val="single"/>
    </w:rPr>
  </w:style>
  <w:style w:type="character" w:styleId="27">
    <w:name w:val="annotation reference"/>
    <w:basedOn w:val="24"/>
    <w:qFormat/>
    <w:uiPriority w:val="99"/>
    <w:rPr>
      <w:sz w:val="21"/>
      <w:szCs w:val="21"/>
    </w:rPr>
  </w:style>
  <w:style w:type="character" w:customStyle="1" w:styleId="28">
    <w:name w:val="批注框文本 Char"/>
    <w:basedOn w:val="24"/>
    <w:link w:val="13"/>
    <w:qFormat/>
    <w:uiPriority w:val="99"/>
    <w:rPr>
      <w:rFonts w:ascii="@仿宋_GB2312" w:hAnsi="@仿宋_GB2312" w:eastAsia="@仿宋_GB2312" w:cs="@仿宋_GB2312"/>
      <w:sz w:val="18"/>
      <w:szCs w:val="18"/>
    </w:rPr>
  </w:style>
  <w:style w:type="paragraph" w:customStyle="1" w:styleId="29">
    <w:name w:val="正文（缩进）"/>
    <w:basedOn w:val="1"/>
    <w:qFormat/>
    <w:uiPriority w:val="0"/>
    <w:pPr>
      <w:widowControl/>
      <w:spacing w:before="156" w:after="156"/>
      <w:ind w:firstLine="480" w:firstLineChars="200"/>
      <w:jc w:val="left"/>
    </w:pPr>
    <w:rPr>
      <w:kern w:val="0"/>
      <w:sz w:val="24"/>
      <w:szCs w:val="24"/>
    </w:rPr>
  </w:style>
  <w:style w:type="paragraph" w:customStyle="1" w:styleId="30">
    <w:name w:val="xl31"/>
    <w:basedOn w:val="1"/>
    <w:qFormat/>
    <w:uiPriority w:val="0"/>
    <w:pPr>
      <w:widowControl/>
      <w:spacing w:before="100" w:beforeAutospacing="1" w:after="100" w:afterAutospacing="1"/>
      <w:jc w:val="center"/>
    </w:pPr>
    <w:rPr>
      <w:b/>
      <w:bCs/>
      <w:kern w:val="0"/>
      <w:sz w:val="28"/>
      <w:szCs w:val="28"/>
    </w:rPr>
  </w:style>
  <w:style w:type="paragraph" w:customStyle="1" w:styleId="31">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Char"/>
    <w:basedOn w:val="24"/>
    <w:link w:val="15"/>
    <w:qFormat/>
    <w:uiPriority w:val="99"/>
    <w:rPr>
      <w:rFonts w:ascii="@仿宋_GB2312" w:hAnsi="@仿宋_GB2312" w:eastAsia="@仿宋_GB2312" w:cs="@仿宋_GB2312"/>
      <w:sz w:val="18"/>
      <w:szCs w:val="18"/>
    </w:rPr>
  </w:style>
  <w:style w:type="character" w:customStyle="1" w:styleId="33">
    <w:name w:val="页脚 Char"/>
    <w:basedOn w:val="24"/>
    <w:link w:val="14"/>
    <w:qFormat/>
    <w:uiPriority w:val="99"/>
    <w:rPr>
      <w:rFonts w:ascii="@仿宋_GB2312" w:hAnsi="@仿宋_GB2312" w:eastAsia="@仿宋_GB2312" w:cs="@仿宋_GB2312"/>
      <w:sz w:val="18"/>
      <w:szCs w:val="18"/>
    </w:rPr>
  </w:style>
  <w:style w:type="character" w:customStyle="1" w:styleId="34">
    <w:name w:val="纯文本 Char"/>
    <w:link w:val="11"/>
    <w:qFormat/>
    <w:uiPriority w:val="0"/>
    <w:rPr>
      <w:rFonts w:ascii="宋体" w:hAnsi="Courier New"/>
    </w:rPr>
  </w:style>
  <w:style w:type="character" w:customStyle="1" w:styleId="35">
    <w:name w:val="纯文本 字符1"/>
    <w:basedOn w:val="24"/>
    <w:qFormat/>
    <w:uiPriority w:val="99"/>
    <w:rPr>
      <w:rFonts w:ascii="宋体" w:hAnsi="Courier New" w:cs="Courier New"/>
      <w:szCs w:val="20"/>
    </w:rPr>
  </w:style>
  <w:style w:type="character" w:customStyle="1" w:styleId="36">
    <w:name w:val="未处理的提及1"/>
    <w:basedOn w:val="24"/>
    <w:qFormat/>
    <w:uiPriority w:val="99"/>
    <w:rPr>
      <w:color w:val="605E5C"/>
      <w:shd w:val="clear" w:color="auto" w:fill="E1DFDD"/>
    </w:rPr>
  </w:style>
  <w:style w:type="paragraph" w:styleId="37">
    <w:name w:val="List Paragraph"/>
    <w:basedOn w:val="1"/>
    <w:qFormat/>
    <w:uiPriority w:val="34"/>
    <w:pPr>
      <w:ind w:firstLine="420" w:firstLineChars="200"/>
    </w:pPr>
  </w:style>
  <w:style w:type="paragraph" w:customStyle="1" w:styleId="38">
    <w:name w:val="Char Char Char Char Char Char Char1 Char"/>
    <w:basedOn w:val="1"/>
    <w:qFormat/>
    <w:uiPriority w:val="0"/>
    <w:rPr>
      <w:rFonts w:ascii="Arial" w:hAnsi="Arial" w:eastAsia="宋体" w:cs="Arial"/>
      <w:sz w:val="24"/>
    </w:rPr>
  </w:style>
  <w:style w:type="table" w:customStyle="1" w:styleId="39">
    <w:name w:val="网格表 1 浅色1"/>
    <w:basedOn w:val="22"/>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40">
    <w:name w:val="日期 字符"/>
    <w:basedOn w:val="24"/>
    <w:qFormat/>
    <w:uiPriority w:val="99"/>
    <w:rPr>
      <w:rFonts w:ascii="@仿宋_GB2312" w:hAnsi="@仿宋_GB2312" w:eastAsia="@仿宋_GB2312" w:cs="@仿宋_GB2312"/>
      <w:szCs w:val="20"/>
    </w:rPr>
  </w:style>
  <w:style w:type="character" w:customStyle="1" w:styleId="41">
    <w:name w:val="日期 Char"/>
    <w:link w:val="12"/>
    <w:qFormat/>
    <w:uiPriority w:val="0"/>
    <w:rPr>
      <w:rFonts w:ascii="Arial" w:hAnsi="Arial" w:eastAsia="宋体" w:cs="Arial"/>
      <w:b/>
      <w:sz w:val="28"/>
      <w:szCs w:val="20"/>
    </w:rPr>
  </w:style>
  <w:style w:type="character" w:customStyle="1" w:styleId="42">
    <w:name w:val="纯文本 Char1"/>
    <w:qFormat/>
    <w:uiPriority w:val="99"/>
    <w:rPr>
      <w:rFonts w:ascii="Arial" w:hAnsi="Arial" w:eastAsia="Arial"/>
      <w:kern w:val="2"/>
      <w:sz w:val="21"/>
      <w:lang w:val="en-US" w:eastAsia="zh-CN" w:bidi="ar-SA"/>
    </w:rPr>
  </w:style>
  <w:style w:type="character" w:customStyle="1" w:styleId="43">
    <w:name w:val="批注文字 Char"/>
    <w:basedOn w:val="24"/>
    <w:qFormat/>
    <w:uiPriority w:val="99"/>
    <w:rPr>
      <w:rFonts w:ascii="@仿宋_GB2312" w:hAnsi="@仿宋_GB2312" w:eastAsia="@仿宋_GB2312" w:cs="@仿宋_GB2312"/>
      <w:szCs w:val="20"/>
    </w:rPr>
  </w:style>
  <w:style w:type="character" w:customStyle="1" w:styleId="44">
    <w:name w:val="批注文字 Char1"/>
    <w:link w:val="7"/>
    <w:qFormat/>
    <w:uiPriority w:val="0"/>
    <w:rPr>
      <w:rFonts w:ascii="Arial" w:hAnsi="Arial" w:eastAsia="黑体" w:cs="Arial"/>
      <w:szCs w:val="20"/>
    </w:rPr>
  </w:style>
  <w:style w:type="character" w:customStyle="1" w:styleId="45">
    <w:name w:val="标题 1 Char"/>
    <w:basedOn w:val="24"/>
    <w:link w:val="2"/>
    <w:qFormat/>
    <w:uiPriority w:val="9"/>
    <w:rPr>
      <w:rFonts w:ascii="@仿宋_GB2312" w:hAnsi="@仿宋_GB2312" w:eastAsia="@仿宋_GB2312" w:cs="@仿宋_GB2312"/>
      <w:b/>
      <w:bCs/>
      <w:kern w:val="44"/>
      <w:sz w:val="44"/>
      <w:szCs w:val="44"/>
    </w:rPr>
  </w:style>
  <w:style w:type="paragraph" w:customStyle="1" w:styleId="46">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47">
    <w:name w:val="标题 3 Char"/>
    <w:basedOn w:val="24"/>
    <w:link w:val="4"/>
    <w:qFormat/>
    <w:uiPriority w:val="9"/>
    <w:rPr>
      <w:rFonts w:ascii="@仿宋_GB2312" w:hAnsi="@仿宋_GB2312" w:eastAsia="@仿宋_GB2312" w:cs="@仿宋_GB2312"/>
      <w:b/>
      <w:bCs/>
      <w:sz w:val="32"/>
      <w:szCs w:val="32"/>
    </w:rPr>
  </w:style>
  <w:style w:type="character" w:customStyle="1" w:styleId="48">
    <w:name w:val="fontstyle01"/>
    <w:basedOn w:val="24"/>
    <w:qFormat/>
    <w:uiPriority w:val="0"/>
    <w:rPr>
      <w:rFonts w:hint="eastAsia" w:ascii="宋体" w:hAnsi="宋体" w:eastAsia="宋体"/>
      <w:color w:val="000000"/>
      <w:sz w:val="22"/>
      <w:szCs w:val="22"/>
    </w:rPr>
  </w:style>
  <w:style w:type="character" w:customStyle="1" w:styleId="49">
    <w:name w:val="fontstyle21"/>
    <w:basedOn w:val="24"/>
    <w:qFormat/>
    <w:uiPriority w:val="0"/>
    <w:rPr>
      <w:rFonts w:hint="default" w:ascii="TimesNewRomanPSMT" w:hAnsi="TimesNewRomanPSMT"/>
      <w:color w:val="000000"/>
      <w:sz w:val="22"/>
      <w:szCs w:val="22"/>
    </w:rPr>
  </w:style>
  <w:style w:type="character" w:customStyle="1" w:styleId="5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4"/>
    <w:qFormat/>
    <w:uiPriority w:val="9"/>
    <w:rPr>
      <w:rFonts w:ascii="Cambria" w:hAnsi="Cambria" w:eastAsia="宋体" w:cs="宋体"/>
      <w:b/>
      <w:bCs/>
      <w:sz w:val="28"/>
      <w:szCs w:val="28"/>
    </w:rPr>
  </w:style>
  <w:style w:type="character" w:customStyle="1" w:styleId="52">
    <w:name w:val="标题 4 Char1"/>
    <w:link w:val="5"/>
    <w:qFormat/>
    <w:uiPriority w:val="0"/>
    <w:rPr>
      <w:rFonts w:ascii="@仿宋_GB2312" w:hAnsi="@仿宋_GB2312" w:eastAsia="@仿宋_GB2312" w:cs="@仿宋_GB2312"/>
      <w:b/>
      <w:bCs/>
      <w:sz w:val="28"/>
      <w:szCs w:val="28"/>
    </w:rPr>
  </w:style>
  <w:style w:type="character" w:customStyle="1" w:styleId="53">
    <w:name w:val="标题 4 Char"/>
    <w:qFormat/>
    <w:uiPriority w:val="0"/>
    <w:rPr>
      <w:rFonts w:ascii="Arial" w:hAnsi="Arial" w:eastAsia="Arial"/>
      <w:b/>
      <w:bCs/>
      <w:kern w:val="2"/>
      <w:sz w:val="28"/>
      <w:szCs w:val="28"/>
      <w:lang w:val="en-US" w:eastAsia="zh-CN" w:bidi="ar-SA"/>
    </w:rPr>
  </w:style>
  <w:style w:type="table" w:customStyle="1" w:styleId="54">
    <w:name w:val="网格型1"/>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5">
    <w:name w:val="批注主题 Char"/>
    <w:basedOn w:val="44"/>
    <w:link w:val="20"/>
    <w:qFormat/>
    <w:uiPriority w:val="99"/>
    <w:rPr>
      <w:rFonts w:ascii="@仿宋_GB2312" w:hAnsi="@仿宋_GB2312" w:eastAsia="@仿宋_GB2312" w:cs="@仿宋_GB2312"/>
      <w:b/>
      <w:bCs/>
      <w:szCs w:val="20"/>
    </w:rPr>
  </w:style>
  <w:style w:type="table" w:customStyle="1" w:styleId="56">
    <w:name w:val="Table Normal"/>
    <w:qFormat/>
    <w:uiPriority w:val="0"/>
    <w:tblPr>
      <w:tblCellMar>
        <w:top w:w="0" w:type="dxa"/>
        <w:left w:w="0" w:type="dxa"/>
        <w:bottom w:w="0" w:type="dxa"/>
        <w:right w:w="0" w:type="dxa"/>
      </w:tblCellMar>
    </w:tblPr>
  </w:style>
  <w:style w:type="paragraph" w:customStyle="1" w:styleId="57">
    <w:name w:val="Table Text"/>
    <w:basedOn w:val="1"/>
    <w:qFormat/>
    <w:uiPriority w:val="0"/>
    <w:rPr>
      <w:rFonts w:ascii="Arial" w:hAnsi="Arial" w:eastAsia="Arial" w:cs="Arial"/>
      <w:sz w:val="21"/>
      <w:szCs w:val="21"/>
      <w:lang w:val="en-US" w:eastAsia="en-US" w:bidi="ar-SA"/>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9">
    <w:name w:val="列出段落1"/>
    <w:basedOn w:val="1"/>
    <w:qFormat/>
    <w:uiPriority w:val="0"/>
    <w:pPr>
      <w:ind w:firstLine="420" w:firstLineChars="200"/>
    </w:pPr>
    <w:rPr>
      <w:szCs w:val="21"/>
    </w:rPr>
  </w:style>
  <w:style w:type="paragraph" w:customStyle="1" w:styleId="60">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43</Pages>
  <Words>1569</Words>
  <Characters>1730</Characters>
  <Paragraphs>1417</Paragraphs>
  <TotalTime>1</TotalTime>
  <ScaleCrop>false</ScaleCrop>
  <LinksUpToDate>false</LinksUpToDate>
  <CharactersWithSpaces>1843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无聊的老H</cp:lastModifiedBy>
  <cp:lastPrinted>2019-12-07T15:18:00Z</cp:lastPrinted>
  <dcterms:modified xsi:type="dcterms:W3CDTF">2025-08-05T07:00:14Z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3C03A7ABBCF249EB8FCC15FD6500FCB8_13</vt:lpwstr>
  </property>
  <property fmtid="{D5CDD505-2E9C-101B-9397-08002B2CF9AE}" pid="4" name="KSOTemplateDocerSaveRecord">
    <vt:lpwstr>eyJoZGlkIjoiZTQ5YWVjYzdjODE0ZmFhYmI4YTYxNDIwMDkxYjkzMjMiLCJ1c2VySWQiOiIzNzgzMjE3NjkifQ==</vt:lpwstr>
  </property>
</Properties>
</file>