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D9A585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2BD8CF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滁州市第一人民医院2025-2027年法律顾问服务项目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CZYY-2025-47</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滁州市第一人民医院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32"/>
          <w:szCs w:val="32"/>
          <w:highlight w:val="none"/>
          <w:lang w:val="en-US" w:eastAsia="zh-CN"/>
        </w:rPr>
      </w:pPr>
      <w:r>
        <w:rPr>
          <w:rFonts w:hint="eastAsia" w:ascii="宋体" w:hAnsi="宋体" w:eastAsia="宋体"/>
          <w:b/>
          <w:bCs/>
          <w:color w:val="auto"/>
          <w:sz w:val="32"/>
          <w:szCs w:val="32"/>
          <w:highlight w:val="none"/>
          <w:lang w:val="en-US" w:eastAsia="zh-CN"/>
        </w:rPr>
        <w:t>2025年8月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14915B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4</w:t>
      </w:r>
      <w:r>
        <w:rPr>
          <w:highlight w:val="none"/>
        </w:rPr>
        <w:fldChar w:fldCharType="end"/>
      </w:r>
      <w:r>
        <w:rPr>
          <w:rFonts w:ascii="宋体" w:hAnsi="宋体" w:eastAsia="宋体"/>
          <w:color w:val="auto"/>
          <w:szCs w:val="24"/>
          <w:highlight w:val="none"/>
        </w:rPr>
        <w:fldChar w:fldCharType="end"/>
      </w:r>
    </w:p>
    <w:p w14:paraId="1F0C159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2716B4CC">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w:t>
      </w:r>
      <w:r>
        <w:rPr>
          <w:highlight w:val="none"/>
        </w:rPr>
        <w:tab/>
      </w:r>
      <w:r>
        <w:rPr>
          <w:rFonts w:hint="eastAsia"/>
          <w:highlight w:val="none"/>
          <w:lang w:val="en-US" w:eastAsia="zh-CN"/>
        </w:rPr>
        <w:t>2</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0</w:t>
      </w:r>
    </w:p>
    <w:p w14:paraId="681AF7DB">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rFonts w:hint="eastAsia"/>
          <w:highlight w:val="none"/>
          <w:lang w:val="en-US" w:eastAsia="zh-CN"/>
        </w:rPr>
        <w:t>2</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4</w:t>
      </w:r>
    </w:p>
    <w:p w14:paraId="71ECE1B1">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5D664A74">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rFonts w:hint="eastAsia"/>
          <w:highlight w:val="none"/>
          <w:lang w:val="en-US" w:eastAsia="zh-CN"/>
        </w:rPr>
        <w:t>4</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9</w:t>
      </w:r>
    </w:p>
    <w:p w14:paraId="1802C566">
      <w:pPr>
        <w:spacing w:line="360" w:lineRule="auto"/>
        <w:rPr>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滁州市第一人民医院2025-2027年法律顾问服务项目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滁州市第一人民医院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u w:val="single"/>
          <w:lang w:eastAsia="zh-CN"/>
        </w:rPr>
        <w:t>https://www.czsey.com/</w:t>
      </w:r>
      <w:r>
        <w:rPr>
          <w:rFonts w:hint="eastAsia" w:ascii="宋体" w:hAnsi="宋体" w:eastAsia="宋体"/>
          <w:color w:val="auto"/>
          <w:sz w:val="24"/>
          <w:highlight w:val="none"/>
          <w:u w:val="single"/>
        </w:rPr>
        <w:t>）</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lang w:eastAsia="zh-CN"/>
        </w:rPr>
        <w:t>2025</w:t>
      </w:r>
      <w:r>
        <w:rPr>
          <w:rFonts w:hint="eastAsia" w:ascii="宋体" w:hAnsi="宋体" w:eastAsia="宋体"/>
          <w:color w:val="auto"/>
          <w:sz w:val="24"/>
          <w:highlight w:val="none"/>
          <w:u w:val="single"/>
        </w:rPr>
        <w:t>年</w:t>
      </w:r>
      <w:r>
        <w:rPr>
          <w:rFonts w:hint="eastAsia" w:ascii="宋体" w:hAnsi="宋体" w:eastAsia="宋体"/>
          <w:color w:val="auto"/>
          <w:sz w:val="24"/>
          <w:highlight w:val="none"/>
          <w:u w:val="single"/>
          <w:lang w:val="en-US" w:eastAsia="zh-CN"/>
        </w:rPr>
        <w:t>8</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15</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00</w:t>
      </w:r>
      <w:r>
        <w:rPr>
          <w:rFonts w:hint="eastAsia" w:ascii="宋体" w:hAnsi="宋体" w:eastAsia="宋体"/>
          <w:color w:val="auto"/>
          <w:sz w:val="24"/>
          <w:highlight w:val="none"/>
          <w:u w:val="single"/>
        </w:rPr>
        <w:t>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CZYY-2025-47</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滁州市第一人民医院2025-2027年法律顾问服务项目</w:t>
      </w:r>
    </w:p>
    <w:p w14:paraId="425DB5AE">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10万/年（含常年法律顾问费5万/年及诉讼/仲裁代理费）</w:t>
      </w:r>
    </w:p>
    <w:p w14:paraId="709A0A38">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10万/年（详见分项报价清单），高于最高限价其投标文件按无效投标处理</w:t>
      </w:r>
    </w:p>
    <w:p w14:paraId="144E45DD">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为采购人提供日常法律咨询，起草、修订、审核各类合同，审查内部规章制度，协助建立和完善内部合规制度，代理采购人交办的所有诉讼、仲裁案件，参与医疗纠纷的处理，参与采购人重大对外谈判与协商等法律服务；</w:t>
      </w:r>
    </w:p>
    <w:p w14:paraId="0666849D">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三年，合同一年一签，根据服务供应商履约情况及采购人考评情况，双方可续签。</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07497B5C">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投标人须具有有效的律师事务所执业许可证复印件加盖公章；</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4、5条自行查询或承诺。。</w:t>
      </w:r>
    </w:p>
    <w:p w14:paraId="2F0ADDD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滁州市第一人民医院官网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686CC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10" w:name="_Toc5082"/>
      <w:r>
        <w:rPr>
          <w:rFonts w:hint="eastAsia" w:ascii="宋体" w:hAnsi="宋体" w:eastAsia="宋体" w:cs="宋体"/>
          <w:sz w:val="24"/>
          <w:szCs w:val="24"/>
          <w:highlight w:val="none"/>
          <w:lang w:val="en-US" w:eastAsia="zh-CN"/>
        </w:rPr>
        <w:t>投标截止时间：2025年8月11日15点00分（北京时间）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地点：滁州市第一人民医院南区行政楼五楼西招标办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8807"/>
      <w:bookmarkStart w:id="14" w:name="_Toc35393795"/>
      <w:bookmarkStart w:id="15" w:name="_Toc35393626"/>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0CCA4FBF">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滁州市第一人民医院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滁州市醉翁西路369号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0550-3526032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3114"/>
      <w:bookmarkStart w:id="20"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8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132"/>
        <w:gridCol w:w="6779"/>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075"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418"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075"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418"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075"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418"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8</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7</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075"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418"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05"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075"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418"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075"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418"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075"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418"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075"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418"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lang w:val="en-US" w:eastAsia="zh-CN"/>
              </w:rPr>
              <w:t>综合评分</w:t>
            </w:r>
            <w:r>
              <w:rPr>
                <w:rFonts w:hint="eastAsia" w:ascii="宋体" w:hAnsi="宋体" w:eastAsia="宋体"/>
                <w:b w:val="0"/>
                <w:color w:val="auto"/>
                <w:sz w:val="24"/>
                <w:highlight w:val="none"/>
                <w:u w:val="none"/>
                <w:lang w:eastAsia="zh-CN"/>
              </w:rPr>
              <w:t>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075"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418"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075"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418"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075"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418"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075"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418"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在滁州市第一人民医院官网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5"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075"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418"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05"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075"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418"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075"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418"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750元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075"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418"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滁州市第一人民医院或江苏川页工程项目管理有限公司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0550-3526032或18755018236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滁州市醉翁西路369号或滁州市世贸大厦A座18楼1818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075"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418" w:type="pct"/>
            <w:vAlign w:val="center"/>
          </w:tcPr>
          <w:p w14:paraId="3D717CA1">
            <w:p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w:t>
            </w:r>
            <w:r>
              <w:rPr>
                <w:rFonts w:ascii="宋体" w:hAnsi="宋体" w:eastAsia="宋体"/>
                <w:bCs/>
                <w:color w:val="auto"/>
                <w:sz w:val="24"/>
                <w:szCs w:val="24"/>
                <w:highlight w:val="none"/>
                <w:lang w:val="en-US" w:eastAsia="zh-CN"/>
              </w:rPr>
              <w:t>按本款前述规定仍不能形成结论的，由</w:t>
            </w:r>
            <w:r>
              <w:rPr>
                <w:rFonts w:hint="eastAsia" w:ascii="宋体" w:hAnsi="宋体" w:eastAsia="宋体"/>
                <w:bCs/>
                <w:color w:val="auto"/>
                <w:sz w:val="24"/>
                <w:szCs w:val="24"/>
                <w:highlight w:val="none"/>
                <w:lang w:val="en-US" w:eastAsia="zh-CN"/>
              </w:rPr>
              <w:t>采购</w:t>
            </w:r>
            <w:r>
              <w:rPr>
                <w:rFonts w:ascii="宋体" w:hAnsi="宋体" w:eastAsia="宋体"/>
                <w:bCs/>
                <w:color w:val="auto"/>
                <w:sz w:val="24"/>
                <w:szCs w:val="24"/>
                <w:highlight w:val="none"/>
                <w:lang w:val="en-US" w:eastAsia="zh-CN"/>
              </w:rPr>
              <w:t>人负责解释。</w:t>
            </w:r>
          </w:p>
        </w:tc>
      </w:tr>
      <w:tr w14:paraId="03BA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77F43800">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075" w:type="pct"/>
            <w:vAlign w:val="center"/>
          </w:tcPr>
          <w:p w14:paraId="6C3C18BA">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418" w:type="pct"/>
            <w:vAlign w:val="center"/>
          </w:tcPr>
          <w:p w14:paraId="3EF10F41">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490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13C699A9">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075" w:type="pct"/>
            <w:vAlign w:val="center"/>
          </w:tcPr>
          <w:p w14:paraId="622EE39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418" w:type="pct"/>
            <w:vAlign w:val="center"/>
          </w:tcPr>
          <w:p w14:paraId="3D23BF86">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bl>
    <w:p w14:paraId="736255BC">
      <w:pPr>
        <w:spacing w:line="360" w:lineRule="auto"/>
        <w:jc w:val="center"/>
        <w:outlineLvl w:val="1"/>
        <w:rPr>
          <w:rFonts w:asciiTheme="minorEastAsia" w:hAnsiTheme="minorEastAsia" w:eastAsiaTheme="minorEastAsia"/>
          <w:b/>
          <w:color w:val="auto"/>
          <w:sz w:val="24"/>
          <w:highlight w:val="none"/>
        </w:rPr>
      </w:pPr>
      <w:r>
        <w:rPr>
          <w:rFonts w:ascii="宋体" w:hAnsi="宋体" w:eastAsia="宋体"/>
          <w:b/>
          <w:color w:val="auto"/>
          <w:sz w:val="28"/>
          <w:highlight w:val="none"/>
        </w:rPr>
        <w:br w:type="page"/>
      </w:r>
      <w:bookmarkStart w:id="21" w:name="_Toc24882"/>
      <w:bookmarkStart w:id="22" w:name="_Toc9427"/>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21"/>
      <w:bookmarkEnd w:id="22"/>
    </w:p>
    <w:p w14:paraId="4610C9AF">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1D304C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5F85A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04B57D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2A451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295DA2D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6B6F0D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17B0E20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7C44FE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19730E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1808BFF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603BC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43E10FE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63A7EB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3E82E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02D900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48D2A5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2CC0FA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7359A7E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52734A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0FBA0FB0">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7BC887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6F32F5D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70CB8BF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56C824C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11CB04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7616E92E">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06114D9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37DA5FE9">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919461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D97B7D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5C427D4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1BC2A02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94B6E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6BEF92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62868EC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1BBD69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1DE5F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eastAsia="zh-CN"/>
        </w:rPr>
        <w:t>滁州市第一人民医院官网</w:t>
      </w:r>
      <w:r>
        <w:rPr>
          <w:rFonts w:hint="eastAsia" w:asciiTheme="minorEastAsia" w:hAnsiTheme="minorEastAsia" w:eastAsiaTheme="minorEastAsia"/>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FFF0D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A7A2D04">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28AAFD5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7AA79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2267C5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EE8A2CD">
      <w:pPr>
        <w:spacing w:line="360" w:lineRule="auto"/>
        <w:ind w:firstLine="435"/>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u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均应符合国家强制性标准。</w:t>
      </w:r>
    </w:p>
    <w:bookmarkEnd w:id="23"/>
    <w:p w14:paraId="6B8EE3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4C6D0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14AD468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3ABBE9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252F027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34AB92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27140E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171220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78A75E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69B8A1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8D8376F">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4AACAE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336C5D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2E003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1CFDD2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4D88D0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DF5AF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D197D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A2A96E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1F1CD94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2880D1F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32D3E79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66D371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1C1554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1D381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5DB7EE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63C1F03C">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7C5CA9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9F128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5E141785">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268DA3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7F0E38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26A2A14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0CD8102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31DC5A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590EC2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704A73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7902E3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162710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74FD18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4BB95F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482D78B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2BAFE5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CB34F8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B9C8F9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BBD55E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4B7206E">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443C54A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0FC515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52E57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B85B7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431881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14F93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42430C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DFDAB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2EC507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DF4D35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5CECFDC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6DCD60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4B720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82448E9">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A17FEF0">
      <w:pPr>
        <w:spacing w:line="360" w:lineRule="auto"/>
        <w:ind w:firstLine="435"/>
        <w:rPr>
          <w:rFonts w:ascii="宋体" w:hAnsi="宋体" w:eastAsia="宋体"/>
          <w:b/>
          <w:bCs/>
          <w:color w:val="auto"/>
          <w:sz w:val="24"/>
          <w:highlight w:val="none"/>
        </w:rPr>
      </w:pPr>
      <w:r>
        <w:rPr>
          <w:rFonts w:hint="eastAsia" w:ascii="宋体" w:hAnsi="宋体" w:eastAsia="宋体"/>
          <w:b/>
          <w:bCs/>
          <w:color w:val="auto"/>
          <w:sz w:val="24"/>
          <w:highlight w:val="none"/>
        </w:rPr>
        <w:t>（2）综合评分法，是</w:t>
      </w:r>
      <w:r>
        <w:rPr>
          <w:rFonts w:ascii="宋体" w:hAnsi="宋体" w:eastAsia="宋体"/>
          <w:b/>
          <w:bCs/>
          <w:color w:val="auto"/>
          <w:sz w:val="24"/>
          <w:highlight w:val="none"/>
        </w:rPr>
        <w:t>指投标文件满足招标</w:t>
      </w:r>
      <w:r>
        <w:rPr>
          <w:rFonts w:hint="eastAsia" w:ascii="宋体" w:hAnsi="宋体" w:eastAsia="宋体"/>
          <w:b/>
          <w:bCs/>
          <w:color w:val="auto"/>
          <w:sz w:val="24"/>
          <w:highlight w:val="none"/>
        </w:rPr>
        <w:t>文件</w:t>
      </w:r>
      <w:r>
        <w:rPr>
          <w:rFonts w:ascii="宋体" w:hAnsi="宋体" w:eastAsia="宋体"/>
          <w:b/>
          <w:bCs/>
          <w:color w:val="auto"/>
          <w:sz w:val="24"/>
          <w:highlight w:val="none"/>
        </w:rPr>
        <w:t>全部实质性要求</w:t>
      </w:r>
      <w:r>
        <w:rPr>
          <w:rFonts w:hint="eastAsia" w:ascii="宋体" w:hAnsi="宋体" w:eastAsia="宋体"/>
          <w:b/>
          <w:bCs/>
          <w:color w:val="auto"/>
          <w:sz w:val="24"/>
          <w:highlight w:val="none"/>
        </w:rPr>
        <w:t>，</w:t>
      </w:r>
      <w:r>
        <w:rPr>
          <w:rFonts w:ascii="宋体" w:hAnsi="宋体" w:eastAsia="宋体"/>
          <w:b/>
          <w:bCs/>
          <w:color w:val="auto"/>
          <w:sz w:val="24"/>
          <w:highlight w:val="none"/>
        </w:rPr>
        <w:t>且按照评审因素的</w:t>
      </w:r>
      <w:r>
        <w:rPr>
          <w:rFonts w:hint="eastAsia" w:ascii="宋体" w:hAnsi="宋体" w:eastAsia="宋体"/>
          <w:b/>
          <w:bCs/>
          <w:color w:val="auto"/>
          <w:sz w:val="24"/>
          <w:highlight w:val="none"/>
        </w:rPr>
        <w:t>量化</w:t>
      </w:r>
      <w:r>
        <w:rPr>
          <w:rFonts w:ascii="宋体" w:hAnsi="宋体" w:eastAsia="宋体"/>
          <w:b/>
          <w:bCs/>
          <w:color w:val="auto"/>
          <w:sz w:val="24"/>
          <w:highlight w:val="none"/>
        </w:rPr>
        <w:t>指标评审得分最高的</w:t>
      </w:r>
      <w:r>
        <w:rPr>
          <w:rFonts w:hint="eastAsia" w:ascii="宋体" w:hAnsi="宋体" w:eastAsia="宋体"/>
          <w:b/>
          <w:bCs/>
          <w:color w:val="auto"/>
          <w:sz w:val="24"/>
          <w:highlight w:val="none"/>
        </w:rPr>
        <w:t>投标人</w:t>
      </w:r>
      <w:r>
        <w:rPr>
          <w:rFonts w:ascii="宋体" w:hAnsi="宋体" w:eastAsia="宋体"/>
          <w:b/>
          <w:bCs/>
          <w:color w:val="auto"/>
          <w:sz w:val="24"/>
          <w:highlight w:val="none"/>
        </w:rPr>
        <w:t>为中标候选人的评标方法。</w:t>
      </w:r>
    </w:p>
    <w:p w14:paraId="2BCB6F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E3845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4FACDA4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589642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742035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2C7DC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7AF65D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4CD764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37B9AF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1D64258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641414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7F90A05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EEE50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260EAD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27D036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35E1983A">
      <w:pPr>
        <w:spacing w:line="360" w:lineRule="auto"/>
        <w:ind w:firstLine="435"/>
        <w:rPr>
          <w:rFonts w:hint="default" w:eastAsiaTheme="minorEastAsia"/>
          <w:highlight w:val="none"/>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2DD3F2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1102386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02DD2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37BC3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11E5D6A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60424A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143538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FB07D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785771F">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w:t>
      </w:r>
      <w:r>
        <w:rPr>
          <w:rFonts w:hint="eastAsia" w:ascii="宋体" w:hAnsi="宋体" w:eastAsia="宋体"/>
          <w:color w:val="auto"/>
          <w:sz w:val="24"/>
          <w:szCs w:val="18"/>
          <w:highlight w:val="none"/>
          <w:lang w:eastAsia="zh-CN"/>
        </w:rPr>
        <w:t>滁州市第一人民医院官网</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eastAsia="zh-CN"/>
        </w:rPr>
        <w:t>https://www.czsey.com/</w:t>
      </w:r>
      <w:r>
        <w:rPr>
          <w:rFonts w:hint="eastAsia" w:ascii="宋体" w:hAnsi="宋体" w:eastAsia="宋体"/>
          <w:color w:val="auto"/>
          <w:sz w:val="24"/>
          <w:szCs w:val="18"/>
          <w:highlight w:val="none"/>
        </w:rPr>
        <w:t>）上发布中标结果公告。</w:t>
      </w:r>
    </w:p>
    <w:p w14:paraId="5A076E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62A71A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4980D1B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5E8E76E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03D7E59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0D8AE1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4DDD81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2643B292">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不要求</w:t>
      </w:r>
      <w:r>
        <w:rPr>
          <w:rFonts w:hint="eastAsia" w:asciiTheme="minorEastAsia" w:hAnsiTheme="minorEastAsia" w:eastAsiaTheme="minorEastAsia"/>
          <w:b/>
          <w:color w:val="auto"/>
          <w:sz w:val="24"/>
          <w:highlight w:val="none"/>
          <w:lang w:eastAsia="zh-CN"/>
        </w:rPr>
        <w:t>）</w:t>
      </w:r>
    </w:p>
    <w:p w14:paraId="225C58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0B082C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0EEC28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01EAC3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19ECE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4119BA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3E4E0B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19C5CA12">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301FB7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43079CE2">
      <w:pPr>
        <w:spacing w:line="360" w:lineRule="auto"/>
        <w:ind w:firstLine="437"/>
        <w:outlineLvl w:val="2"/>
        <w:rPr>
          <w:rFonts w:asciiTheme="minorEastAsia" w:hAnsiTheme="minorEastAsia" w:eastAsiaTheme="minorEastAsia"/>
          <w:b/>
          <w:color w:val="auto"/>
          <w:sz w:val="24"/>
          <w:highlight w:val="none"/>
        </w:rPr>
      </w:pPr>
      <w:bookmarkStart w:id="26" w:name="_Toc2583661"/>
      <w:bookmarkStart w:id="27"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6"/>
      <w:bookmarkEnd w:id="27"/>
    </w:p>
    <w:p w14:paraId="6D586A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7AE25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A5AAA78">
      <w:pPr>
        <w:spacing w:line="360" w:lineRule="auto"/>
        <w:ind w:firstLine="437"/>
        <w:outlineLvl w:val="2"/>
        <w:rPr>
          <w:rFonts w:asciiTheme="minorEastAsia" w:hAnsiTheme="minorEastAsia" w:eastAsiaTheme="minorEastAsia"/>
          <w:b/>
          <w:color w:val="auto"/>
          <w:sz w:val="24"/>
          <w:highlight w:val="none"/>
        </w:rPr>
      </w:pPr>
      <w:bookmarkStart w:id="28" w:name="_Toc518923101"/>
      <w:bookmarkStart w:id="29"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8"/>
      <w:bookmarkEnd w:id="29"/>
    </w:p>
    <w:p w14:paraId="1ECAFE80">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A7A5C3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65FF62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76444A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9519B6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42664D9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3D8901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2C999294">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01F75D2">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65CD53BB">
      <w:pPr>
        <w:spacing w:line="360" w:lineRule="auto"/>
        <w:jc w:val="center"/>
        <w:outlineLvl w:val="0"/>
        <w:rPr>
          <w:rFonts w:hint="eastAsia" w:ascii="宋体" w:hAnsi="宋体" w:eastAsia="宋体"/>
          <w:b/>
          <w:color w:val="auto"/>
          <w:sz w:val="28"/>
          <w:highlight w:val="none"/>
          <w:lang w:eastAsia="zh-CN"/>
        </w:rPr>
      </w:pPr>
      <w:bookmarkStart w:id="30" w:name="_Toc10891"/>
      <w:r>
        <w:rPr>
          <w:rFonts w:hint="eastAsia" w:ascii="宋体" w:hAnsi="宋体" w:eastAsia="宋体"/>
          <w:b/>
          <w:color w:val="auto"/>
          <w:sz w:val="28"/>
          <w:highlight w:val="none"/>
        </w:rPr>
        <w:t>第三章  采购需求</w:t>
      </w:r>
      <w:bookmarkEnd w:id="30"/>
    </w:p>
    <w:p w14:paraId="0AFA7F43">
      <w:pPr>
        <w:spacing w:line="360" w:lineRule="auto"/>
        <w:ind w:firstLine="437"/>
        <w:outlineLvl w:val="1"/>
        <w:rPr>
          <w:rFonts w:hint="eastAsia" w:ascii="宋体" w:hAnsi="宋体" w:eastAsia="宋体"/>
          <w:b/>
          <w:color w:val="auto"/>
          <w:sz w:val="24"/>
          <w:szCs w:val="18"/>
          <w:highlight w:val="none"/>
        </w:rPr>
      </w:pPr>
      <w:bookmarkStart w:id="31" w:name="_Toc2554"/>
      <w:bookmarkStart w:id="32" w:name="_Toc32151"/>
      <w:r>
        <w:rPr>
          <w:rFonts w:hint="eastAsia" w:ascii="宋体" w:hAnsi="宋体" w:eastAsia="宋体"/>
          <w:b/>
          <w:color w:val="auto"/>
          <w:sz w:val="24"/>
          <w:szCs w:val="18"/>
          <w:highlight w:val="none"/>
        </w:rPr>
        <w:t>一、采购需求前附表</w:t>
      </w:r>
      <w:bookmarkEnd w:id="31"/>
      <w:bookmarkEnd w:id="32"/>
    </w:p>
    <w:tbl>
      <w:tblPr>
        <w:tblStyle w:val="2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895"/>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C64C6B2">
            <w:pPr>
              <w:pStyle w:val="30"/>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每服务年度第二个月内一次性支付全款。</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5913D3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期限</w:t>
            </w:r>
          </w:p>
        </w:tc>
        <w:tc>
          <w:tcPr>
            <w:tcW w:w="3299" w:type="pct"/>
            <w:vAlign w:val="center"/>
          </w:tcPr>
          <w:p w14:paraId="7618E6D2">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三年，合同一年一签，根据服务供应商履约情况及采购人考评情况，双方可续签。</w:t>
            </w:r>
          </w:p>
        </w:tc>
      </w:tr>
    </w:tbl>
    <w:p w14:paraId="47654D50">
      <w:pPr>
        <w:numPr>
          <w:ilvl w:val="0"/>
          <w:numId w:val="0"/>
        </w:numPr>
        <w:spacing w:line="360" w:lineRule="auto"/>
        <w:ind w:firstLine="482" w:firstLineChars="200"/>
        <w:outlineLvl w:val="1"/>
        <w:rPr>
          <w:rFonts w:hint="eastAsia" w:ascii="宋体" w:hAnsi="宋体" w:eastAsia="宋体"/>
          <w:b/>
          <w:color w:val="auto"/>
          <w:sz w:val="24"/>
          <w:szCs w:val="18"/>
          <w:highlight w:val="none"/>
          <w:lang w:val="en-US" w:eastAsia="zh-CN"/>
        </w:rPr>
      </w:pPr>
      <w:bookmarkStart w:id="33" w:name="_Toc8753"/>
    </w:p>
    <w:bookmarkEnd w:id="33"/>
    <w:p w14:paraId="6B04807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二</w:t>
      </w:r>
      <w:r>
        <w:rPr>
          <w:rFonts w:hint="eastAsia" w:ascii="宋体" w:hAnsi="宋体" w:eastAsia="宋体"/>
          <w:color w:val="auto"/>
          <w:sz w:val="24"/>
          <w:highlight w:val="none"/>
        </w:rPr>
        <w:t>、基础服务要求：</w:t>
      </w:r>
    </w:p>
    <w:p w14:paraId="1AC287C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为采购人起草、审核、修改法律文件并出具法律意见，包括但不限于各类合同、内部规章制度、章程，确保文件合法合规，防范法律风险，维护采购人权益。原则上承办律师应在收件后2日内完成，对于急件审查修改，原则上应在收件当天完成。</w:t>
      </w:r>
    </w:p>
    <w:p w14:paraId="2C671B2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2.结合现代医院管理制度和合规运营管理要求，协助建立和完善内部合规制度，确保采购人在医疗服务、药品管理、医疗器械使用、收费定价等方面合法合规，避免因违法违规行为导致的法律责任和经济损失。</w:t>
      </w:r>
      <w:bookmarkStart w:id="34" w:name="OLE_LINK15"/>
    </w:p>
    <w:bookmarkEnd w:id="34"/>
    <w:p w14:paraId="55480FB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3.指派律师代理采购人委托的所有诉讼、仲裁案件，范围包括但不限于医疗纠纷、合同纠纷。免费代理采购人行政诉讼、劳动人事争议仲裁及诉讼。</w:t>
      </w:r>
    </w:p>
    <w:p w14:paraId="1B7F404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对采购人经营管理活动中出现的法律问题提供咨询，包括口头处理意见、书面意见、列席会议，对于一般性的法律问题，律师尽量即时予以解答，最晚不超过24小时；对于重大、疑难、复杂的问题，3个工作日内为采购人进行解答，并根据我院要求出具法律意见书和律师函。</w:t>
      </w:r>
    </w:p>
    <w:p w14:paraId="0B22B1F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5.遭遇突发性的事件，需要法律顾问单位指派律师紧急到场处理的，承办律师原则上在接到通知后2小时内到指定现场，积极参与、协助事件的处理。</w:t>
      </w:r>
    </w:p>
    <w:p w14:paraId="4E49E4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6.参与采购人重大对外谈判（含重大医疗纠纷谈判）及重大信访处理，协助采购人处理各项非讼法律事宜，并出具法律意见书或提供法律可行性意见。</w:t>
      </w:r>
      <w:r>
        <w:rPr>
          <w:rFonts w:hint="eastAsia" w:ascii="宋体" w:hAnsi="宋体" w:eastAsia="宋体"/>
          <w:color w:val="auto"/>
          <w:sz w:val="24"/>
          <w:highlight w:val="none"/>
        </w:rPr>
        <w:cr/>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7.到采购人指定地点为采购人职工提供法律咨询服务，每服务年度不少于6次，每次不少于3小时。</w:t>
      </w:r>
    </w:p>
    <w:p w14:paraId="03C7BC8F">
      <w:pPr>
        <w:spacing w:line="360" w:lineRule="auto"/>
        <w:ind w:firstLine="435"/>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.处理采购人委托的其他法律事务</w:t>
      </w:r>
      <w:r>
        <w:rPr>
          <w:rFonts w:hint="eastAsia" w:ascii="宋体" w:hAnsi="宋体" w:eastAsia="宋体"/>
          <w:color w:val="auto"/>
          <w:sz w:val="24"/>
          <w:highlight w:val="none"/>
          <w:lang w:eastAsia="zh-CN"/>
        </w:rPr>
        <w:t>。</w:t>
      </w:r>
    </w:p>
    <w:p w14:paraId="6A50BA15">
      <w:pPr>
        <w:spacing w:line="360" w:lineRule="auto"/>
        <w:ind w:firstLine="435"/>
        <w:rPr>
          <w:rFonts w:hint="eastAsia" w:ascii="宋体" w:hAnsi="宋体" w:eastAsia="宋体" w:cs="宋体"/>
          <w:sz w:val="24"/>
          <w:szCs w:val="24"/>
          <w:highlight w:val="yellow"/>
          <w:lang w:val="en-US" w:eastAsia="zh-CN"/>
        </w:rPr>
      </w:pPr>
      <w:bookmarkStart w:id="81" w:name="_GoBack"/>
      <w:r>
        <w:rPr>
          <w:rFonts w:hint="eastAsia" w:ascii="宋体" w:hAnsi="宋体" w:eastAsia="宋体" w:cs="宋体"/>
          <w:sz w:val="24"/>
          <w:szCs w:val="24"/>
          <w:highlight w:val="yellow"/>
          <w:lang w:val="en-US" w:eastAsia="zh-CN"/>
        </w:rPr>
        <w:t>9.拟派医疗损害责任纠纷案件代理律师：执业≥5年,2021年1月1日以来代理医疗损害案件≥5宗，并为采购人组建相对固定且不少于2人的法律顾问团队，团队成员未经采购人同意不得更换。证明材料：提供拟派医疗损害责任纠纷案件代理律师的律师执业资格证、执业年限证明、代理医疗纠纷案件</w:t>
      </w:r>
      <w:bookmarkStart w:id="35" w:name="OLE_LINK9"/>
      <w:r>
        <w:rPr>
          <w:rFonts w:hint="eastAsia" w:ascii="宋体" w:hAnsi="宋体" w:eastAsia="宋体" w:cs="宋体"/>
          <w:sz w:val="24"/>
          <w:szCs w:val="24"/>
          <w:highlight w:val="yellow"/>
          <w:lang w:val="en-US" w:eastAsia="zh-CN"/>
        </w:rPr>
        <w:t>（案件清单及案件判决书、裁定书、调解书，含医调委调解，案件不同阶段视为同一宗）</w:t>
      </w:r>
      <w:bookmarkEnd w:id="35"/>
      <w:r>
        <w:rPr>
          <w:rFonts w:hint="eastAsia" w:ascii="宋体" w:hAnsi="宋体" w:eastAsia="宋体" w:cs="宋体"/>
          <w:sz w:val="24"/>
          <w:szCs w:val="24"/>
          <w:highlight w:val="yellow"/>
          <w:lang w:val="en-US" w:eastAsia="zh-CN"/>
        </w:rPr>
        <w:t>等相关材料</w:t>
      </w:r>
      <w:bookmarkStart w:id="36" w:name="OLE_LINK8"/>
      <w:r>
        <w:rPr>
          <w:rFonts w:hint="eastAsia" w:ascii="宋体" w:hAnsi="宋体" w:eastAsia="宋体" w:cs="宋体"/>
          <w:sz w:val="24"/>
          <w:szCs w:val="24"/>
          <w:highlight w:val="yellow"/>
          <w:lang w:val="en-US" w:eastAsia="zh-CN"/>
        </w:rPr>
        <w:t>，如未提供，则视为不满足要求。</w:t>
      </w:r>
      <w:bookmarkEnd w:id="36"/>
    </w:p>
    <w:bookmarkEnd w:id="81"/>
    <w:p w14:paraId="24BB4750">
      <w:pPr>
        <w:spacing w:line="360" w:lineRule="auto"/>
        <w:ind w:firstLine="435"/>
        <w:rPr>
          <w:rFonts w:hint="eastAsia" w:ascii="宋体" w:hAnsi="宋体" w:eastAsia="宋体" w:cs="宋体"/>
          <w:sz w:val="24"/>
          <w:szCs w:val="24"/>
          <w:lang w:val="en-US" w:eastAsia="zh-CN"/>
        </w:rPr>
      </w:pPr>
    </w:p>
    <w:p w14:paraId="435DA51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、其他要求</w:t>
      </w:r>
    </w:p>
    <w:p w14:paraId="1C4118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1.每服务年度内免费代理1起标的额10万元以内民事诉讼（本免费代理项目不含差旅费，由采购人报销）。</w:t>
      </w:r>
    </w:p>
    <w:p w14:paraId="724E2D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2.为采购人员工提供法律培训，内容包括医疗纠纷风险防范、合同的签订及风险防范等，每服务年度不少于1次。</w:t>
      </w:r>
    </w:p>
    <w:p w14:paraId="2A4B1D8F">
      <w:pPr>
        <w:spacing w:line="360" w:lineRule="auto"/>
        <w:ind w:firstLine="435"/>
        <w:rPr>
          <w:rFonts w:hint="eastAsia" w:ascii="宋体" w:hAnsi="宋体" w:eastAsia="宋体"/>
          <w:color w:val="auto"/>
          <w:sz w:val="24"/>
          <w:highlight w:val="none"/>
        </w:rPr>
      </w:pPr>
    </w:p>
    <w:p w14:paraId="2D2BE49D">
      <w:pPr>
        <w:spacing w:line="360" w:lineRule="auto"/>
        <w:ind w:firstLine="435"/>
        <w:rPr>
          <w:rFonts w:hint="eastAsia" w:ascii="宋体" w:hAnsi="宋体" w:eastAsia="宋体"/>
          <w:color w:val="auto"/>
          <w:sz w:val="24"/>
          <w:highlight w:val="none"/>
        </w:rPr>
      </w:pPr>
    </w:p>
    <w:p w14:paraId="6E4735E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br w:type="page"/>
      </w:r>
    </w:p>
    <w:p w14:paraId="594606A6">
      <w:pPr>
        <w:spacing w:line="360" w:lineRule="auto"/>
        <w:jc w:val="center"/>
        <w:outlineLvl w:val="0"/>
        <w:rPr>
          <w:rFonts w:hint="eastAsia" w:ascii="宋体" w:hAnsi="宋体" w:eastAsia="宋体"/>
          <w:b/>
          <w:color w:val="auto"/>
          <w:sz w:val="28"/>
          <w:highlight w:val="none"/>
        </w:rPr>
      </w:pPr>
      <w:bookmarkStart w:id="37" w:name="_Toc4328"/>
      <w:bookmarkStart w:id="38" w:name="_Toc4682"/>
      <w:r>
        <w:rPr>
          <w:rFonts w:hint="eastAsia" w:ascii="宋体" w:hAnsi="宋体" w:eastAsia="宋体"/>
          <w:b/>
          <w:color w:val="auto"/>
          <w:sz w:val="28"/>
          <w:highlight w:val="none"/>
        </w:rPr>
        <w:t>第四章  评标方法和标准（综合评分法）</w:t>
      </w:r>
      <w:bookmarkEnd w:id="37"/>
    </w:p>
    <w:p w14:paraId="26BC9EB5">
      <w:pPr>
        <w:spacing w:line="360" w:lineRule="auto"/>
        <w:ind w:firstLine="437"/>
        <w:outlineLvl w:val="1"/>
        <w:rPr>
          <w:rFonts w:asciiTheme="minorEastAsia" w:hAnsiTheme="minorEastAsia" w:eastAsiaTheme="minorEastAsia"/>
          <w:b/>
          <w:color w:val="auto"/>
          <w:sz w:val="24"/>
          <w:highlight w:val="none"/>
        </w:rPr>
      </w:pPr>
      <w:bookmarkStart w:id="39" w:name="_Toc6560"/>
      <w:bookmarkStart w:id="40" w:name="_Toc22115"/>
      <w:r>
        <w:rPr>
          <w:rFonts w:hint="eastAsia" w:asciiTheme="minorEastAsia" w:hAnsiTheme="minorEastAsia" w:eastAsiaTheme="minorEastAsia"/>
          <w:b/>
          <w:color w:val="auto"/>
          <w:sz w:val="24"/>
          <w:highlight w:val="none"/>
        </w:rPr>
        <w:t>一、总则</w:t>
      </w:r>
      <w:bookmarkEnd w:id="39"/>
      <w:bookmarkEnd w:id="40"/>
    </w:p>
    <w:p w14:paraId="586727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3F06EB61">
      <w:pPr>
        <w:spacing w:line="360" w:lineRule="auto"/>
        <w:ind w:firstLine="437"/>
        <w:outlineLvl w:val="1"/>
        <w:rPr>
          <w:rFonts w:asciiTheme="minorEastAsia" w:hAnsiTheme="minorEastAsia" w:eastAsiaTheme="minorEastAsia"/>
          <w:b/>
          <w:color w:val="auto"/>
          <w:sz w:val="24"/>
          <w:highlight w:val="none"/>
        </w:rPr>
      </w:pPr>
      <w:bookmarkStart w:id="41" w:name="_Toc28533"/>
      <w:bookmarkStart w:id="42" w:name="_Toc27343"/>
      <w:r>
        <w:rPr>
          <w:rFonts w:hint="eastAsia" w:asciiTheme="minorEastAsia" w:hAnsiTheme="minorEastAsia" w:eastAsiaTheme="minorEastAsia"/>
          <w:b/>
          <w:color w:val="auto"/>
          <w:sz w:val="24"/>
          <w:highlight w:val="none"/>
        </w:rPr>
        <w:t>二、评标方法</w:t>
      </w:r>
      <w:bookmarkEnd w:id="41"/>
      <w:bookmarkEnd w:id="42"/>
    </w:p>
    <w:p w14:paraId="0983C2DC">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98"/>
        <w:gridCol w:w="5560"/>
        <w:gridCol w:w="2043"/>
      </w:tblGrid>
      <w:tr w14:paraId="296B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9EB4DA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508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7CD2886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756" w:type="pct"/>
            <w:tcBorders>
              <w:bottom w:val="single" w:color="auto" w:sz="4" w:space="0"/>
            </w:tcBorders>
            <w:vAlign w:val="center"/>
          </w:tcPr>
          <w:p w14:paraId="4029F816">
            <w:pPr>
              <w:pStyle w:val="31"/>
              <w:pBdr>
                <w:bottom w:val="none" w:color="auto" w:sz="0" w:space="0"/>
              </w:pBdr>
              <w:tabs>
                <w:tab w:val="clear" w:pos="4153"/>
                <w:tab w:val="clear" w:pos="8306"/>
              </w:tabs>
              <w:snapToGrid w:val="0"/>
              <w:spacing w:line="360" w:lineRule="auto"/>
              <w:ind w:right="-10"/>
              <w:jc w:val="center"/>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806" w:type="pct"/>
            <w:tcBorders>
              <w:bottom w:val="single" w:color="auto" w:sz="4" w:space="0"/>
            </w:tcBorders>
            <w:vAlign w:val="center"/>
          </w:tcPr>
          <w:p w14:paraId="6AB5722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28" w:type="pct"/>
            <w:tcBorders>
              <w:bottom w:val="single" w:color="auto" w:sz="4" w:space="0"/>
            </w:tcBorders>
            <w:vAlign w:val="center"/>
          </w:tcPr>
          <w:p w14:paraId="5A8B24C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029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7" w:type="pct"/>
            <w:tcBorders>
              <w:bottom w:val="single" w:color="auto" w:sz="4" w:space="0"/>
            </w:tcBorders>
            <w:vAlign w:val="center"/>
          </w:tcPr>
          <w:p w14:paraId="6628EFFE">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756" w:type="pct"/>
            <w:tcBorders>
              <w:bottom w:val="single" w:color="auto" w:sz="4" w:space="0"/>
            </w:tcBorders>
            <w:vAlign w:val="center"/>
          </w:tcPr>
          <w:p w14:paraId="08D0B1F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806" w:type="pct"/>
            <w:tcBorders>
              <w:bottom w:val="single" w:color="auto" w:sz="4" w:space="0"/>
            </w:tcBorders>
            <w:vAlign w:val="center"/>
          </w:tcPr>
          <w:p w14:paraId="511F10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862C98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3B602A94">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62C803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2F2FE81">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28" w:type="pct"/>
            <w:vAlign w:val="center"/>
          </w:tcPr>
          <w:p w14:paraId="5FB0E951">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1BC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07" w:type="pct"/>
            <w:tcBorders>
              <w:bottom w:val="single" w:color="auto" w:sz="4" w:space="0"/>
            </w:tcBorders>
            <w:vAlign w:val="center"/>
          </w:tcPr>
          <w:p w14:paraId="6DF99516">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756" w:type="pct"/>
            <w:tcBorders>
              <w:bottom w:val="single" w:color="auto" w:sz="4" w:space="0"/>
            </w:tcBorders>
            <w:vAlign w:val="center"/>
          </w:tcPr>
          <w:p w14:paraId="54287A8A">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806" w:type="pct"/>
            <w:tcBorders>
              <w:bottom w:val="single" w:color="auto" w:sz="4" w:space="0"/>
            </w:tcBorders>
            <w:vAlign w:val="center"/>
          </w:tcPr>
          <w:p w14:paraId="7603AEB6">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28" w:type="pct"/>
            <w:vAlign w:val="center"/>
          </w:tcPr>
          <w:p w14:paraId="5A8796BA">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BC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3CBCF1FF">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756" w:type="pct"/>
            <w:tcBorders>
              <w:bottom w:val="single" w:color="auto" w:sz="4" w:space="0"/>
            </w:tcBorders>
            <w:vAlign w:val="center"/>
          </w:tcPr>
          <w:p w14:paraId="37E66E5A">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806" w:type="pct"/>
            <w:tcBorders>
              <w:bottom w:val="single" w:color="auto" w:sz="4" w:space="0"/>
            </w:tcBorders>
            <w:vAlign w:val="center"/>
          </w:tcPr>
          <w:p w14:paraId="5F95EB80">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投标人不得存在投标邀请信誉要求和投标人须知正文中的不良信用记录情形</w:t>
            </w:r>
          </w:p>
        </w:tc>
        <w:tc>
          <w:tcPr>
            <w:tcW w:w="1028" w:type="pct"/>
            <w:tcBorders>
              <w:bottom w:val="single" w:color="auto" w:sz="4" w:space="0"/>
            </w:tcBorders>
            <w:vAlign w:val="center"/>
          </w:tcPr>
          <w:p w14:paraId="1640C256">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191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B7955FA">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756" w:type="pct"/>
            <w:tcBorders>
              <w:bottom w:val="single" w:color="auto" w:sz="4" w:space="0"/>
            </w:tcBorders>
            <w:vAlign w:val="center"/>
          </w:tcPr>
          <w:p w14:paraId="1E5DC5F7">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806" w:type="pct"/>
            <w:tcBorders>
              <w:bottom w:val="single" w:color="auto" w:sz="4" w:space="0"/>
            </w:tcBorders>
            <w:vAlign w:val="center"/>
          </w:tcPr>
          <w:p w14:paraId="4562F6BC">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28" w:type="pct"/>
            <w:tcBorders>
              <w:bottom w:val="single" w:color="auto" w:sz="4" w:space="0"/>
            </w:tcBorders>
            <w:vAlign w:val="center"/>
          </w:tcPr>
          <w:p w14:paraId="04AD34AA">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3B06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6701870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756" w:type="pct"/>
            <w:vAlign w:val="center"/>
          </w:tcPr>
          <w:p w14:paraId="47F5860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806" w:type="pct"/>
            <w:vAlign w:val="center"/>
          </w:tcPr>
          <w:p w14:paraId="7D3AADFB">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28" w:type="pct"/>
            <w:vAlign w:val="center"/>
          </w:tcPr>
          <w:p w14:paraId="0D38F67D">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bl>
    <w:p w14:paraId="27355E08">
      <w:pPr>
        <w:spacing w:line="360" w:lineRule="auto"/>
        <w:ind w:firstLine="435"/>
        <w:rPr>
          <w:rFonts w:asciiTheme="minorEastAsia" w:hAnsiTheme="minorEastAsia" w:eastAsiaTheme="minorEastAsia"/>
          <w:color w:val="auto"/>
          <w:sz w:val="24"/>
          <w:highlight w:val="none"/>
        </w:rPr>
      </w:pPr>
      <w:bookmarkStart w:id="43"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3"/>
    <w:p w14:paraId="7770FF9F">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6437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39"/>
        <w:gridCol w:w="4495"/>
        <w:gridCol w:w="2331"/>
      </w:tblGrid>
      <w:tr w14:paraId="4258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369439">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7E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8" w:type="pct"/>
            <w:tcBorders>
              <w:bottom w:val="single" w:color="auto" w:sz="4" w:space="0"/>
            </w:tcBorders>
            <w:vAlign w:val="center"/>
          </w:tcPr>
          <w:p w14:paraId="74B212C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139" w:type="pct"/>
            <w:tcBorders>
              <w:bottom w:val="single" w:color="auto" w:sz="4" w:space="0"/>
            </w:tcBorders>
            <w:vAlign w:val="center"/>
          </w:tcPr>
          <w:p w14:paraId="639B3A56">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2287" w:type="pct"/>
            <w:tcBorders>
              <w:bottom w:val="single" w:color="auto" w:sz="4" w:space="0"/>
            </w:tcBorders>
            <w:vAlign w:val="center"/>
          </w:tcPr>
          <w:p w14:paraId="29CEE08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184" w:type="pct"/>
            <w:tcBorders>
              <w:bottom w:val="single" w:color="auto" w:sz="4" w:space="0"/>
            </w:tcBorders>
            <w:vAlign w:val="center"/>
          </w:tcPr>
          <w:p w14:paraId="4BA5F24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22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153288F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139" w:type="pct"/>
            <w:vAlign w:val="center"/>
          </w:tcPr>
          <w:p w14:paraId="6B921DA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2287" w:type="pct"/>
            <w:vAlign w:val="center"/>
          </w:tcPr>
          <w:p w14:paraId="4B25780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184" w:type="pct"/>
            <w:vAlign w:val="center"/>
          </w:tcPr>
          <w:p w14:paraId="54B3D5B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44F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71394A5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39" w:type="pct"/>
            <w:vAlign w:val="center"/>
          </w:tcPr>
          <w:p w14:paraId="11BC748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2287" w:type="pct"/>
            <w:vAlign w:val="center"/>
          </w:tcPr>
          <w:p w14:paraId="2C4F8BD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184" w:type="pct"/>
            <w:vAlign w:val="center"/>
          </w:tcPr>
          <w:p w14:paraId="123D714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575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2558999">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139" w:type="pct"/>
            <w:vAlign w:val="center"/>
          </w:tcPr>
          <w:p w14:paraId="71C8D38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287" w:type="pct"/>
            <w:vAlign w:val="center"/>
          </w:tcPr>
          <w:p w14:paraId="6A4DF46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184" w:type="pct"/>
            <w:vAlign w:val="center"/>
          </w:tcPr>
          <w:p w14:paraId="10BC7FC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70F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CD14DE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39" w:type="pct"/>
            <w:vAlign w:val="center"/>
          </w:tcPr>
          <w:p w14:paraId="4C39CD6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2287" w:type="pct"/>
            <w:vAlign w:val="center"/>
          </w:tcPr>
          <w:p w14:paraId="05386A6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184" w:type="pct"/>
            <w:vAlign w:val="center"/>
          </w:tcPr>
          <w:p w14:paraId="02C4755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CF1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7B6824B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139" w:type="pct"/>
            <w:vAlign w:val="center"/>
          </w:tcPr>
          <w:p w14:paraId="788908B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287" w:type="pct"/>
            <w:vAlign w:val="center"/>
          </w:tcPr>
          <w:p w14:paraId="3D2940D1">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184" w:type="pct"/>
            <w:vAlign w:val="center"/>
          </w:tcPr>
          <w:p w14:paraId="0BE20E89">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357D9A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8775A00">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03D639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76FEC6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分，其中：资信</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技术</w:t>
      </w:r>
      <w:r>
        <w:rPr>
          <w:rFonts w:hint="eastAsia" w:ascii="宋体" w:hAnsi="宋体" w:eastAsia="宋体"/>
          <w:color w:val="auto"/>
          <w:sz w:val="24"/>
          <w:highlight w:val="none"/>
        </w:rPr>
        <w:t>分值占总分值的权重为</w:t>
      </w:r>
      <w:r>
        <w:rPr>
          <w:rFonts w:hint="eastAsia" w:ascii="宋体" w:hAnsi="宋体" w:eastAsia="宋体"/>
          <w:color w:val="auto"/>
          <w:sz w:val="24"/>
          <w:highlight w:val="none"/>
          <w:u w:val="single"/>
          <w:lang w:val="en-US" w:eastAsia="zh-CN"/>
        </w:rPr>
        <w:t>50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50</w:t>
      </w:r>
      <w:r>
        <w:rPr>
          <w:rFonts w:ascii="宋体" w:hAnsi="宋体" w:eastAsia="宋体"/>
          <w:color w:val="auto"/>
          <w:sz w:val="24"/>
          <w:highlight w:val="none"/>
        </w:rPr>
        <w:t>%。具体评分细则如下：</w:t>
      </w:r>
    </w:p>
    <w:tbl>
      <w:tblPr>
        <w:tblStyle w:val="22"/>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361"/>
        <w:gridCol w:w="6046"/>
        <w:gridCol w:w="1071"/>
      </w:tblGrid>
      <w:tr w14:paraId="2307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9" w:type="pct"/>
            <w:tcBorders>
              <w:top w:val="single" w:color="auto" w:sz="4" w:space="0"/>
              <w:left w:val="single" w:color="auto" w:sz="4" w:space="0"/>
              <w:bottom w:val="single" w:color="auto" w:sz="4" w:space="0"/>
              <w:right w:val="single" w:color="auto" w:sz="4" w:space="0"/>
            </w:tcBorders>
            <w:vAlign w:val="center"/>
          </w:tcPr>
          <w:p w14:paraId="34E315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684" w:type="pct"/>
            <w:tcBorders>
              <w:top w:val="single" w:color="auto" w:sz="4" w:space="0"/>
              <w:left w:val="single" w:color="auto" w:sz="4" w:space="0"/>
              <w:bottom w:val="single" w:color="auto" w:sz="4" w:space="0"/>
              <w:right w:val="single" w:color="auto" w:sz="4" w:space="0"/>
            </w:tcBorders>
            <w:vAlign w:val="center"/>
          </w:tcPr>
          <w:p w14:paraId="63879F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3038" w:type="pct"/>
            <w:tcBorders>
              <w:top w:val="single" w:color="auto" w:sz="4" w:space="0"/>
              <w:left w:val="single" w:color="auto" w:sz="4" w:space="0"/>
              <w:bottom w:val="single" w:color="auto" w:sz="4" w:space="0"/>
              <w:right w:val="single" w:color="auto" w:sz="4" w:space="0"/>
            </w:tcBorders>
            <w:vAlign w:val="center"/>
          </w:tcPr>
          <w:p w14:paraId="1464B6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37" w:type="pct"/>
            <w:tcBorders>
              <w:top w:val="single" w:color="auto" w:sz="4" w:space="0"/>
              <w:left w:val="single" w:color="auto" w:sz="4" w:space="0"/>
              <w:bottom w:val="single" w:color="auto" w:sz="4" w:space="0"/>
              <w:right w:val="single" w:color="auto" w:sz="4" w:space="0"/>
            </w:tcBorders>
            <w:vAlign w:val="center"/>
          </w:tcPr>
          <w:p w14:paraId="70E0A4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3A2B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tcBorders>
              <w:top w:val="single" w:color="auto" w:sz="4" w:space="0"/>
              <w:left w:val="single" w:color="auto" w:sz="4" w:space="0"/>
              <w:right w:val="single" w:color="auto" w:sz="4" w:space="0"/>
            </w:tcBorders>
            <w:vAlign w:val="center"/>
          </w:tcPr>
          <w:p w14:paraId="056127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资信分</w:t>
            </w:r>
          </w:p>
          <w:p w14:paraId="1F5E0A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（50分）</w:t>
            </w:r>
          </w:p>
        </w:tc>
        <w:tc>
          <w:tcPr>
            <w:tcW w:w="684" w:type="pct"/>
            <w:vMerge w:val="restart"/>
            <w:tcBorders>
              <w:top w:val="single" w:color="auto" w:sz="4" w:space="0"/>
              <w:left w:val="single" w:color="auto" w:sz="4" w:space="0"/>
              <w:right w:val="single" w:color="auto" w:sz="4" w:space="0"/>
            </w:tcBorders>
            <w:vAlign w:val="center"/>
          </w:tcPr>
          <w:p w14:paraId="2178C44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服务能力</w:t>
            </w:r>
          </w:p>
        </w:tc>
        <w:tc>
          <w:tcPr>
            <w:tcW w:w="3038" w:type="pct"/>
            <w:tcBorders>
              <w:top w:val="single" w:color="auto" w:sz="4" w:space="0"/>
              <w:left w:val="single" w:color="auto" w:sz="4" w:space="0"/>
              <w:bottom w:val="single" w:color="auto" w:sz="4" w:space="0"/>
              <w:right w:val="single" w:color="auto" w:sz="4" w:space="0"/>
            </w:tcBorders>
            <w:vAlign w:val="center"/>
          </w:tcPr>
          <w:p w14:paraId="4826397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2021年1月1日以来，主办律师代理过医疗损害责任纠纷案件，每提供一宗得1.5分，本项满分30分（提供案件清单及案件判决书、裁定书、调解书，含医调委调解，案件不同阶段视为同一宗）</w:t>
            </w:r>
          </w:p>
        </w:tc>
        <w:tc>
          <w:tcPr>
            <w:tcW w:w="537" w:type="pct"/>
            <w:tcBorders>
              <w:top w:val="single" w:color="auto" w:sz="4" w:space="0"/>
              <w:left w:val="single" w:color="auto" w:sz="4" w:space="0"/>
              <w:bottom w:val="single" w:color="auto" w:sz="4" w:space="0"/>
              <w:right w:val="single" w:color="auto" w:sz="4" w:space="0"/>
            </w:tcBorders>
            <w:vAlign w:val="center"/>
          </w:tcPr>
          <w:p w14:paraId="4FA850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0-30分</w:t>
            </w:r>
          </w:p>
        </w:tc>
      </w:tr>
      <w:tr w14:paraId="6D9D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9" w:type="pct"/>
            <w:vMerge w:val="continue"/>
            <w:tcBorders>
              <w:left w:val="single" w:color="auto" w:sz="4" w:space="0"/>
              <w:right w:val="single" w:color="auto" w:sz="4" w:space="0"/>
            </w:tcBorders>
            <w:vAlign w:val="center"/>
          </w:tcPr>
          <w:p w14:paraId="2107AF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vMerge w:val="continue"/>
            <w:tcBorders>
              <w:left w:val="single" w:color="auto" w:sz="4" w:space="0"/>
              <w:bottom w:val="single" w:color="auto" w:sz="4" w:space="0"/>
              <w:right w:val="single" w:color="auto" w:sz="4" w:space="0"/>
            </w:tcBorders>
            <w:vAlign w:val="center"/>
          </w:tcPr>
          <w:p w14:paraId="39CCB40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u w:val="none"/>
                <w:lang w:val="en-US" w:eastAsia="zh-CN"/>
              </w:rPr>
            </w:pPr>
          </w:p>
        </w:tc>
        <w:tc>
          <w:tcPr>
            <w:tcW w:w="3038" w:type="pct"/>
            <w:tcBorders>
              <w:top w:val="single" w:color="auto" w:sz="4" w:space="0"/>
              <w:left w:val="single" w:color="auto" w:sz="4" w:space="0"/>
              <w:right w:val="single" w:color="auto" w:sz="4" w:space="0"/>
            </w:tcBorders>
            <w:vAlign w:val="center"/>
          </w:tcPr>
          <w:p w14:paraId="183111A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2021年1月1日以来，法律顾问团队成员代理过医疗机构医疗损害责任纠纷之外的案件，每增加一宗有效案件得2分，本项最高10分。（提供案件清单及判决书，案件不同阶段视为同一宗）</w:t>
            </w:r>
          </w:p>
        </w:tc>
        <w:tc>
          <w:tcPr>
            <w:tcW w:w="537" w:type="pct"/>
            <w:tcBorders>
              <w:top w:val="single" w:color="auto" w:sz="4" w:space="0"/>
              <w:left w:val="single" w:color="auto" w:sz="4" w:space="0"/>
              <w:right w:val="single" w:color="auto" w:sz="4" w:space="0"/>
            </w:tcBorders>
            <w:vAlign w:val="center"/>
          </w:tcPr>
          <w:p w14:paraId="2D1E05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71A9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292B44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5CB494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历史业绩</w:t>
            </w:r>
          </w:p>
        </w:tc>
        <w:tc>
          <w:tcPr>
            <w:tcW w:w="3038" w:type="pct"/>
            <w:tcBorders>
              <w:top w:val="single" w:color="auto" w:sz="4" w:space="0"/>
              <w:left w:val="single" w:color="auto" w:sz="4" w:space="0"/>
              <w:bottom w:val="single" w:color="auto" w:sz="4" w:space="0"/>
              <w:right w:val="single" w:color="auto" w:sz="4" w:space="0"/>
            </w:tcBorders>
            <w:shd w:val="clear" w:color="auto" w:fill="auto"/>
            <w:vAlign w:val="center"/>
          </w:tcPr>
          <w:p w14:paraId="638100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2021年1月1日以来，法律顾问团队担任过行政机关、医疗机构法律顾问，每个得2分，本项最高10分。（提供法律顾问合同，同一项目不可重复得分）</w:t>
            </w:r>
          </w:p>
        </w:tc>
        <w:tc>
          <w:tcPr>
            <w:tcW w:w="537" w:type="pct"/>
            <w:tcBorders>
              <w:top w:val="single" w:color="auto" w:sz="4" w:space="0"/>
              <w:left w:val="single" w:color="auto" w:sz="4" w:space="0"/>
              <w:bottom w:val="single" w:color="auto" w:sz="4" w:space="0"/>
              <w:right w:val="single" w:color="auto" w:sz="4" w:space="0"/>
            </w:tcBorders>
            <w:vAlign w:val="center"/>
          </w:tcPr>
          <w:p w14:paraId="09CE43D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78F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9" w:type="pct"/>
            <w:vMerge w:val="restart"/>
            <w:tcBorders>
              <w:left w:val="single" w:color="auto" w:sz="4" w:space="0"/>
              <w:right w:val="single" w:color="auto" w:sz="4" w:space="0"/>
            </w:tcBorders>
            <w:vAlign w:val="center"/>
          </w:tcPr>
          <w:p w14:paraId="28FF68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价格分</w:t>
            </w:r>
          </w:p>
          <w:p w14:paraId="11839E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（50分）</w:t>
            </w:r>
          </w:p>
        </w:tc>
        <w:tc>
          <w:tcPr>
            <w:tcW w:w="684" w:type="pct"/>
            <w:tcBorders>
              <w:top w:val="single" w:color="auto" w:sz="4" w:space="0"/>
              <w:left w:val="single" w:color="auto" w:sz="4" w:space="0"/>
              <w:bottom w:val="single" w:color="auto" w:sz="4" w:space="0"/>
              <w:right w:val="single" w:color="auto" w:sz="4" w:space="0"/>
            </w:tcBorders>
            <w:vAlign w:val="center"/>
          </w:tcPr>
          <w:p w14:paraId="5892C7D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商务汇总</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4ACC818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lang w:eastAsia="zh-CN"/>
              </w:rPr>
              <w:t>。</w:t>
            </w:r>
          </w:p>
          <w:p w14:paraId="30BBA21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分值</w:t>
            </w:r>
            <w:r>
              <w:rPr>
                <w:rFonts w:hint="eastAsia" w:ascii="宋体" w:hAnsi="宋体" w:eastAsia="宋体" w:cs="宋体"/>
                <w:color w:val="auto"/>
                <w:sz w:val="21"/>
                <w:szCs w:val="21"/>
                <w:highlight w:val="none"/>
              </w:rPr>
              <w:t>％×100</w:t>
            </w:r>
          </w:p>
        </w:tc>
      </w:tr>
      <w:tr w14:paraId="5C28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5538621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1E51DF81">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商务分项1（20分）</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744C4DD5">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基础服务费（最高限价5万元），</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％×100</w:t>
            </w:r>
          </w:p>
        </w:tc>
      </w:tr>
      <w:tr w14:paraId="264C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3FE1E37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63B0156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商务分项2（15）</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2BD4675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bookmarkStart w:id="44" w:name="OLE_LINK12"/>
            <w:r>
              <w:rPr>
                <w:rFonts w:hint="eastAsia" w:ascii="宋体" w:hAnsi="宋体" w:eastAsia="宋体" w:cs="宋体"/>
                <w:color w:val="auto"/>
                <w:sz w:val="21"/>
                <w:szCs w:val="21"/>
                <w:highlight w:val="none"/>
                <w:lang w:val="en-US" w:eastAsia="zh-CN"/>
              </w:rPr>
              <w:t>医疗损害责任纠纷案件</w:t>
            </w:r>
            <w:bookmarkEnd w:id="44"/>
            <w:r>
              <w:rPr>
                <w:rFonts w:hint="eastAsia" w:ascii="宋体" w:hAnsi="宋体" w:eastAsia="宋体" w:cs="宋体"/>
                <w:color w:val="auto"/>
                <w:sz w:val="21"/>
                <w:szCs w:val="21"/>
                <w:highlight w:val="none"/>
                <w:lang w:val="en-US" w:eastAsia="zh-CN"/>
              </w:rPr>
              <w:t>诉讼代理费：（1）一、二审阶段合计诉讼代理费（最高限价8000元），</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（2）再审阶段折扣率（%，再审阶段诉讼代理费=一、二审阶段合计诉讼代理费*折扣率）：</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tc>
      </w:tr>
      <w:tr w14:paraId="2637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1A83B8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5D9FBF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商务分项3（15分）</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41232276">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医疗损害责任纠纷，之外民事案件诉讼代理费：（1）基础代理费（最高限价5000元），</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7.5</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折扣率：</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7.5</w:t>
            </w:r>
            <w:r>
              <w:rPr>
                <w:rFonts w:hint="eastAsia" w:ascii="宋体" w:hAnsi="宋体" w:eastAsia="宋体" w:cs="宋体"/>
                <w:color w:val="auto"/>
                <w:sz w:val="21"/>
                <w:szCs w:val="21"/>
                <w:highlight w:val="none"/>
              </w:rPr>
              <w:t>％×100</w:t>
            </w:r>
          </w:p>
        </w:tc>
      </w:tr>
    </w:tbl>
    <w:p w14:paraId="17AED667">
      <w:pPr>
        <w:spacing w:line="360" w:lineRule="auto"/>
        <w:rPr>
          <w:rFonts w:hint="eastAsia" w:ascii="宋体" w:hAnsi="宋体" w:eastAsia="宋体" w:cs="宋体"/>
          <w:b/>
          <w:bCs/>
          <w:color w:val="0000FF"/>
          <w:sz w:val="21"/>
          <w:szCs w:val="21"/>
          <w:highlight w:val="none"/>
          <w:lang w:val="en-US" w:eastAsia="zh-CN"/>
        </w:rPr>
      </w:pPr>
      <w:r>
        <w:rPr>
          <w:rFonts w:hint="eastAsia" w:ascii="宋体" w:hAnsi="宋体" w:eastAsia="宋体"/>
          <w:b/>
          <w:bCs/>
          <w:color w:val="0000FF"/>
          <w:sz w:val="24"/>
          <w:highlight w:val="none"/>
          <w:lang w:val="en-US" w:eastAsia="zh-CN"/>
        </w:rPr>
        <w:t>注：1.商务部分总得分=</w:t>
      </w:r>
      <w:r>
        <w:rPr>
          <w:rFonts w:hint="eastAsia" w:ascii="宋体" w:hAnsi="宋体" w:eastAsia="宋体" w:cs="宋体"/>
          <w:b/>
          <w:bCs/>
          <w:color w:val="0000FF"/>
          <w:sz w:val="21"/>
          <w:szCs w:val="21"/>
          <w:highlight w:val="none"/>
          <w:lang w:val="en-US" w:eastAsia="zh-CN"/>
        </w:rPr>
        <w:t>商务分项1得分+商务分项2得分+商务分项3得分；</w:t>
      </w:r>
    </w:p>
    <w:p w14:paraId="2436EC3D">
      <w:pPr>
        <w:spacing w:line="360" w:lineRule="auto"/>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 折扣率不得为0，否则按无效标处理。</w:t>
      </w:r>
    </w:p>
    <w:p w14:paraId="2378DD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2D2D6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6BCE54EC">
      <w:pPr>
        <w:widowControl/>
        <w:jc w:val="left"/>
        <w:rPr>
          <w:rFonts w:asciiTheme="minorEastAsia" w:hAnsiTheme="minorEastAsia" w:eastAsiaTheme="minorEastAsia"/>
          <w:bCs/>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Theme="minorEastAsia" w:hAnsiTheme="minorEastAsia" w:eastAsiaTheme="minorEastAsia"/>
          <w:bCs/>
          <w:color w:val="auto"/>
          <w:sz w:val="24"/>
          <w:highlight w:val="none"/>
        </w:rPr>
        <w:br w:type="page"/>
      </w:r>
    </w:p>
    <w:p w14:paraId="02EF3DF1">
      <w:pPr>
        <w:spacing w:line="360" w:lineRule="auto"/>
        <w:jc w:val="center"/>
        <w:outlineLvl w:val="0"/>
        <w:rPr>
          <w:rFonts w:asciiTheme="minorEastAsia" w:hAnsiTheme="minorEastAsia" w:eastAsiaTheme="minorEastAsia"/>
          <w:color w:val="auto"/>
          <w:sz w:val="24"/>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8"/>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滁州市第一人民医院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C003C21">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F14215A">
      <w:pPr>
        <w:spacing w:after="0" w:line="640" w:lineRule="exact"/>
        <w:jc w:val="center"/>
        <w:rPr>
          <w:rFonts w:hint="eastAsia" w:ascii="仿宋" w:hAnsi="仿宋" w:eastAsia="仿宋" w:cs="Times New Roman"/>
          <w:b/>
          <w:bCs/>
          <w:sz w:val="32"/>
          <w:szCs w:val="32"/>
          <w:highlight w:val="none"/>
        </w:rPr>
      </w:pPr>
      <w:bookmarkStart w:id="45" w:name="_Toc20313"/>
      <w:r>
        <w:rPr>
          <w:rFonts w:ascii="黑体" w:hAnsi="黑体" w:eastAsia="黑体" w:cs="Times New Roman"/>
          <w:sz w:val="44"/>
          <w:szCs w:val="44"/>
          <w:highlight w:val="none"/>
        </w:rPr>
        <w:t>法律顾问服务合同</w:t>
      </w:r>
      <w:r>
        <w:rPr>
          <w:rFonts w:hint="eastAsia" w:ascii="MS Mincho" w:hAnsi="MS Mincho" w:eastAsia="MS Mincho" w:cs="MS Mincho"/>
          <w:b/>
          <w:bCs/>
          <w:sz w:val="44"/>
          <w:szCs w:val="44"/>
          <w:highlight w:val="none"/>
        </w:rPr>
        <w:t>​</w:t>
      </w:r>
    </w:p>
    <w:p w14:paraId="4032367B">
      <w:pPr>
        <w:spacing w:after="0" w:line="480" w:lineRule="exact"/>
        <w:ind w:firstLine="640" w:firstLineChars="200"/>
        <w:jc w:val="both"/>
        <w:rPr>
          <w:rFonts w:hint="eastAsia" w:ascii="仿宋" w:hAnsi="仿宋" w:eastAsia="仿宋" w:cs="MS Mincho"/>
          <w:sz w:val="32"/>
          <w:szCs w:val="32"/>
          <w:highlight w:val="none"/>
        </w:rPr>
      </w:pPr>
      <w:r>
        <w:rPr>
          <w:rFonts w:hint="eastAsia" w:ascii="MS Mincho" w:hAnsi="MS Mincho" w:eastAsia="MS Mincho" w:cs="MS Mincho"/>
          <w:sz w:val="32"/>
          <w:szCs w:val="32"/>
          <w:highlight w:val="none"/>
        </w:rPr>
        <w:t>​</w:t>
      </w:r>
    </w:p>
    <w:p w14:paraId="789234FD">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合同编号：</w:t>
      </w:r>
    </w:p>
    <w:p w14:paraId="24271C6E">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甲方（聘请方）：</w:t>
      </w:r>
      <w:r>
        <w:rPr>
          <w:rFonts w:hint="eastAsia" w:ascii="MS Mincho" w:hAnsi="MS Mincho" w:eastAsia="MS Mincho" w:cs="MS Mincho"/>
          <w:b/>
          <w:bCs/>
          <w:sz w:val="28"/>
          <w:szCs w:val="28"/>
          <w:highlight w:val="none"/>
        </w:rPr>
        <w:t>​</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滁州市第一人民医院</w:t>
      </w:r>
    </w:p>
    <w:p w14:paraId="782C681C">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乙方（应聘方）：</w:t>
      </w:r>
      <w:r>
        <w:rPr>
          <w:rFonts w:ascii="仿宋" w:hAnsi="仿宋" w:eastAsia="仿宋" w:cs="Times New Roman"/>
          <w:sz w:val="28"/>
          <w:szCs w:val="28"/>
          <w:highlight w:val="none"/>
        </w:rPr>
        <w:t>__________________</w:t>
      </w:r>
    </w:p>
    <w:p w14:paraId="12504154">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签约日期：</w:t>
      </w:r>
      <w:r>
        <w:rPr>
          <w:rFonts w:ascii="仿宋" w:hAnsi="仿宋" w:eastAsia="仿宋" w:cs="Times New Roman"/>
          <w:sz w:val="28"/>
          <w:szCs w:val="28"/>
          <w:highlight w:val="none"/>
        </w:rPr>
        <w:t xml:space="preserve"> ______年______月______日</w:t>
      </w:r>
    </w:p>
    <w:p w14:paraId="2BE6FFD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p w14:paraId="57F2C502">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第一条 服务内容与范围</w:t>
      </w:r>
      <w:r>
        <w:rPr>
          <w:rFonts w:hint="eastAsia" w:ascii="MS Mincho" w:hAnsi="MS Mincho" w:eastAsia="MS Mincho" w:cs="MS Mincho"/>
          <w:b/>
          <w:bCs/>
          <w:sz w:val="28"/>
          <w:szCs w:val="28"/>
          <w:highlight w:val="none"/>
        </w:rPr>
        <w:t>​</w:t>
      </w:r>
    </w:p>
    <w:p w14:paraId="177CC40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乙方为甲方提供常年法律顾问服务，具体包括：</w:t>
      </w:r>
    </w:p>
    <w:p w14:paraId="287831E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sz w:val="28"/>
          <w:szCs w:val="28"/>
          <w:highlight w:val="none"/>
        </w:rPr>
        <w:t>一、</w:t>
      </w:r>
      <w:r>
        <w:rPr>
          <w:rFonts w:ascii="仿宋" w:hAnsi="仿宋" w:eastAsia="仿宋" w:cs="Times New Roman"/>
          <w:b/>
          <w:bCs/>
          <w:sz w:val="28"/>
          <w:szCs w:val="28"/>
          <w:highlight w:val="none"/>
        </w:rPr>
        <w:t>日常法律事务</w:t>
      </w:r>
      <w:r>
        <w:rPr>
          <w:rFonts w:hint="eastAsia" w:ascii="MS Mincho" w:hAnsi="MS Mincho" w:eastAsia="MS Mincho" w:cs="MS Mincho"/>
          <w:sz w:val="28"/>
          <w:szCs w:val="28"/>
          <w:highlight w:val="none"/>
        </w:rPr>
        <w:t>​</w:t>
      </w:r>
    </w:p>
    <w:p w14:paraId="261E6493">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法律咨询（口头/书面/列席会议）：</w:t>
      </w:r>
      <w:r>
        <w:rPr>
          <w:rFonts w:hint="eastAsia" w:ascii="仿宋" w:hAnsi="仿宋" w:eastAsia="仿宋" w:cs="Times New Roman"/>
          <w:sz w:val="28"/>
          <w:szCs w:val="28"/>
          <w:highlight w:val="none"/>
        </w:rPr>
        <w:t>即时解答，</w:t>
      </w:r>
      <w:r>
        <w:rPr>
          <w:rFonts w:ascii="仿宋" w:hAnsi="仿宋" w:eastAsia="仿宋" w:cs="Times New Roman"/>
          <w:sz w:val="28"/>
          <w:szCs w:val="28"/>
          <w:highlight w:val="none"/>
        </w:rPr>
        <w:t>一般问题≤24小时回复，重大复杂问题≤3个工作日</w:t>
      </w:r>
      <w:r>
        <w:rPr>
          <w:rFonts w:hint="eastAsia" w:ascii="仿宋" w:hAnsi="仿宋" w:eastAsia="仿宋" w:cs="Times New Roman"/>
          <w:sz w:val="28"/>
          <w:szCs w:val="28"/>
          <w:highlight w:val="none"/>
        </w:rPr>
        <w:t>并</w:t>
      </w:r>
      <w:r>
        <w:rPr>
          <w:rFonts w:ascii="仿宋" w:hAnsi="仿宋" w:eastAsia="仿宋" w:cs="Times New Roman"/>
          <w:sz w:val="28"/>
          <w:szCs w:val="28"/>
          <w:highlight w:val="none"/>
        </w:rPr>
        <w:t>出具</w:t>
      </w:r>
      <w:r>
        <w:rPr>
          <w:rFonts w:hint="eastAsia" w:ascii="仿宋" w:hAnsi="仿宋" w:eastAsia="仿宋" w:cs="Times New Roman"/>
          <w:sz w:val="28"/>
          <w:szCs w:val="28"/>
          <w:highlight w:val="none"/>
        </w:rPr>
        <w:t>法律</w:t>
      </w:r>
      <w:r>
        <w:rPr>
          <w:rFonts w:ascii="仿宋" w:hAnsi="仿宋" w:eastAsia="仿宋" w:cs="Times New Roman"/>
          <w:sz w:val="28"/>
          <w:szCs w:val="28"/>
          <w:highlight w:val="none"/>
        </w:rPr>
        <w:t>意见书</w:t>
      </w:r>
      <w:r>
        <w:rPr>
          <w:rFonts w:hint="eastAsia" w:ascii="仿宋" w:hAnsi="仿宋" w:eastAsia="仿宋" w:cs="Times New Roman"/>
          <w:sz w:val="28"/>
          <w:szCs w:val="28"/>
          <w:highlight w:val="none"/>
        </w:rPr>
        <w:t>或律师函。</w:t>
      </w:r>
    </w:p>
    <w:p w14:paraId="77051B17">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w:t>
      </w:r>
      <w:r>
        <w:rPr>
          <w:rFonts w:ascii="仿宋" w:hAnsi="仿宋" w:eastAsia="仿宋" w:cs="Times New Roman"/>
          <w:sz w:val="28"/>
          <w:szCs w:val="28"/>
          <w:highlight w:val="none"/>
        </w:rPr>
        <w:t>合同</w:t>
      </w:r>
      <w:r>
        <w:rPr>
          <w:rFonts w:hint="eastAsia" w:ascii="仿宋" w:hAnsi="仿宋" w:eastAsia="仿宋" w:cs="Times New Roman"/>
          <w:sz w:val="28"/>
          <w:szCs w:val="28"/>
          <w:highlight w:val="none"/>
        </w:rPr>
        <w:t>、建议书、承诺函、通知书等</w:t>
      </w:r>
      <w:r>
        <w:rPr>
          <w:rFonts w:ascii="仿宋" w:hAnsi="仿宋" w:eastAsia="仿宋" w:cs="Times New Roman"/>
          <w:sz w:val="28"/>
          <w:szCs w:val="28"/>
          <w:highlight w:val="none"/>
        </w:rPr>
        <w:t>法律文件</w:t>
      </w:r>
      <w:r>
        <w:rPr>
          <w:rFonts w:hint="eastAsia" w:ascii="仿宋" w:hAnsi="仿宋" w:eastAsia="仿宋" w:cs="Times New Roman"/>
          <w:sz w:val="28"/>
          <w:szCs w:val="28"/>
          <w:highlight w:val="none"/>
        </w:rPr>
        <w:t>起草、</w:t>
      </w:r>
      <w:r>
        <w:rPr>
          <w:rFonts w:ascii="仿宋" w:hAnsi="仿宋" w:eastAsia="仿宋" w:cs="Times New Roman"/>
          <w:sz w:val="28"/>
          <w:szCs w:val="28"/>
          <w:highlight w:val="none"/>
        </w:rPr>
        <w:t>审查：常规文件≤2</w:t>
      </w:r>
      <w:r>
        <w:rPr>
          <w:rFonts w:hint="eastAsia" w:ascii="仿宋" w:hAnsi="仿宋" w:eastAsia="仿宋" w:cs="Times New Roman"/>
          <w:sz w:val="28"/>
          <w:szCs w:val="28"/>
          <w:highlight w:val="none"/>
        </w:rPr>
        <w:t>工作</w:t>
      </w:r>
      <w:r>
        <w:rPr>
          <w:rFonts w:ascii="仿宋" w:hAnsi="仿宋" w:eastAsia="仿宋" w:cs="Times New Roman"/>
          <w:sz w:val="28"/>
          <w:szCs w:val="28"/>
          <w:highlight w:val="none"/>
        </w:rPr>
        <w:t>日出具</w:t>
      </w:r>
      <w:r>
        <w:rPr>
          <w:rFonts w:hint="eastAsia" w:ascii="仿宋" w:hAnsi="仿宋" w:eastAsia="仿宋" w:cs="Times New Roman"/>
          <w:sz w:val="28"/>
          <w:szCs w:val="28"/>
          <w:highlight w:val="none"/>
        </w:rPr>
        <w:t>法律</w:t>
      </w:r>
      <w:r>
        <w:rPr>
          <w:rFonts w:ascii="仿宋" w:hAnsi="仿宋" w:eastAsia="仿宋" w:cs="Times New Roman"/>
          <w:sz w:val="28"/>
          <w:szCs w:val="28"/>
          <w:highlight w:val="none"/>
        </w:rPr>
        <w:t>意见，急件当日完成</w:t>
      </w:r>
      <w:r>
        <w:rPr>
          <w:rFonts w:hint="eastAsia" w:ascii="仿宋" w:hAnsi="仿宋" w:eastAsia="仿宋" w:cs="Times New Roman"/>
          <w:sz w:val="28"/>
          <w:szCs w:val="28"/>
          <w:highlight w:val="none"/>
        </w:rPr>
        <w:t>。</w:t>
      </w:r>
    </w:p>
    <w:p w14:paraId="19ED2A5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内部制度合规建设：协助完善医疗、药品、器械、</w:t>
      </w:r>
      <w:r>
        <w:rPr>
          <w:rFonts w:hint="eastAsia" w:ascii="仿宋" w:hAnsi="仿宋" w:eastAsia="仿宋" w:cs="Times New Roman"/>
          <w:sz w:val="28"/>
          <w:szCs w:val="28"/>
          <w:highlight w:val="none"/>
        </w:rPr>
        <w:t>收费</w:t>
      </w:r>
      <w:r>
        <w:rPr>
          <w:rFonts w:ascii="仿宋" w:hAnsi="仿宋" w:eastAsia="仿宋" w:cs="Times New Roman"/>
          <w:sz w:val="28"/>
          <w:szCs w:val="28"/>
          <w:highlight w:val="none"/>
        </w:rPr>
        <w:t>等合规体系</w:t>
      </w:r>
      <w:r>
        <w:rPr>
          <w:rFonts w:hint="eastAsia" w:ascii="仿宋" w:hAnsi="仿宋" w:eastAsia="仿宋" w:cs="Times New Roman"/>
          <w:sz w:val="28"/>
          <w:szCs w:val="28"/>
          <w:highlight w:val="none"/>
        </w:rPr>
        <w:t>。</w:t>
      </w:r>
    </w:p>
    <w:p w14:paraId="0C176A69">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ascii="仿宋" w:hAnsi="仿宋" w:eastAsia="仿宋" w:cs="Times New Roman"/>
          <w:sz w:val="28"/>
          <w:szCs w:val="28"/>
          <w:highlight w:val="none"/>
        </w:rPr>
        <w:t>参与重大谈判（含医疗纠纷、对外合作）及</w:t>
      </w:r>
      <w:r>
        <w:rPr>
          <w:rFonts w:hint="eastAsia" w:ascii="仿宋" w:hAnsi="仿宋" w:eastAsia="仿宋" w:cs="Times New Roman"/>
          <w:sz w:val="28"/>
          <w:szCs w:val="28"/>
          <w:highlight w:val="none"/>
        </w:rPr>
        <w:t>协助</w:t>
      </w:r>
      <w:r>
        <w:rPr>
          <w:rFonts w:ascii="仿宋" w:hAnsi="仿宋" w:eastAsia="仿宋" w:cs="Times New Roman"/>
          <w:sz w:val="28"/>
          <w:szCs w:val="28"/>
          <w:highlight w:val="none"/>
        </w:rPr>
        <w:t>处理信访</w:t>
      </w:r>
      <w:r>
        <w:rPr>
          <w:rFonts w:hint="eastAsia" w:ascii="仿宋" w:hAnsi="仿宋" w:eastAsia="仿宋" w:cs="Times New Roman"/>
          <w:sz w:val="28"/>
          <w:szCs w:val="28"/>
          <w:highlight w:val="none"/>
        </w:rPr>
        <w:t>案件等各项非讼法律事宜并</w:t>
      </w:r>
      <w:r>
        <w:rPr>
          <w:rFonts w:ascii="仿宋" w:hAnsi="仿宋" w:eastAsia="仿宋" w:cs="Times New Roman"/>
          <w:sz w:val="28"/>
          <w:szCs w:val="28"/>
          <w:highlight w:val="none"/>
        </w:rPr>
        <w:t>出具</w:t>
      </w:r>
      <w:r>
        <w:rPr>
          <w:rFonts w:hint="eastAsia" w:ascii="仿宋" w:hAnsi="仿宋" w:eastAsia="仿宋" w:cs="Times New Roman"/>
          <w:sz w:val="28"/>
          <w:szCs w:val="28"/>
          <w:highlight w:val="none"/>
        </w:rPr>
        <w:t>法律</w:t>
      </w:r>
      <w:r>
        <w:rPr>
          <w:rFonts w:ascii="仿宋" w:hAnsi="仿宋" w:eastAsia="仿宋" w:cs="Times New Roman"/>
          <w:sz w:val="28"/>
          <w:szCs w:val="28"/>
          <w:highlight w:val="none"/>
        </w:rPr>
        <w:t>意见</w:t>
      </w:r>
      <w:r>
        <w:rPr>
          <w:rFonts w:hint="eastAsia" w:ascii="仿宋" w:hAnsi="仿宋" w:eastAsia="仿宋" w:cs="Times New Roman"/>
          <w:sz w:val="28"/>
          <w:szCs w:val="28"/>
          <w:highlight w:val="none"/>
        </w:rPr>
        <w:t>；遇</w:t>
      </w:r>
      <w:r>
        <w:rPr>
          <w:rFonts w:ascii="仿宋" w:hAnsi="仿宋" w:eastAsia="仿宋" w:cs="Times New Roman"/>
          <w:sz w:val="28"/>
          <w:szCs w:val="28"/>
          <w:highlight w:val="none"/>
        </w:rPr>
        <w:t>突发性事件</w:t>
      </w:r>
      <w:r>
        <w:rPr>
          <w:rFonts w:hint="eastAsia" w:ascii="仿宋" w:hAnsi="仿宋" w:eastAsia="仿宋" w:cs="Times New Roman"/>
          <w:sz w:val="28"/>
          <w:szCs w:val="28"/>
          <w:highlight w:val="none"/>
        </w:rPr>
        <w:t>须</w:t>
      </w:r>
      <w:r>
        <w:rPr>
          <w:rFonts w:ascii="仿宋" w:hAnsi="仿宋" w:eastAsia="仿宋" w:cs="Times New Roman"/>
          <w:sz w:val="28"/>
          <w:szCs w:val="28"/>
          <w:highlight w:val="none"/>
        </w:rPr>
        <w:t>紧急响应</w:t>
      </w:r>
      <w:r>
        <w:rPr>
          <w:rFonts w:hint="eastAsia" w:ascii="仿宋" w:hAnsi="仿宋" w:eastAsia="仿宋" w:cs="MS Mincho"/>
          <w:sz w:val="28"/>
          <w:szCs w:val="28"/>
          <w:highlight w:val="none"/>
        </w:rPr>
        <w:t>，</w:t>
      </w:r>
      <w:r>
        <w:rPr>
          <w:rFonts w:ascii="仿宋" w:hAnsi="仿宋" w:eastAsia="仿宋" w:cs="Times New Roman"/>
          <w:sz w:val="28"/>
          <w:szCs w:val="28"/>
          <w:highlight w:val="none"/>
        </w:rPr>
        <w:t>2小时内到达现场</w:t>
      </w:r>
      <w:r>
        <w:rPr>
          <w:rFonts w:hint="eastAsia" w:ascii="仿宋" w:hAnsi="仿宋" w:eastAsia="仿宋" w:cs="Times New Roman"/>
          <w:sz w:val="28"/>
          <w:szCs w:val="28"/>
          <w:highlight w:val="none"/>
        </w:rPr>
        <w:t>。</w:t>
      </w:r>
    </w:p>
    <w:p w14:paraId="7959F49D">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5.</w:t>
      </w:r>
      <w:r>
        <w:rPr>
          <w:rFonts w:ascii="仿宋" w:hAnsi="仿宋" w:eastAsia="仿宋" w:cs="Times New Roman"/>
          <w:sz w:val="28"/>
          <w:szCs w:val="28"/>
          <w:highlight w:val="none"/>
        </w:rPr>
        <w:t>员工法律培训</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每年度≥1次（医疗风险防范、合同管理等）</w:t>
      </w:r>
      <w:r>
        <w:rPr>
          <w:rFonts w:hint="eastAsia" w:ascii="仿宋" w:hAnsi="仿宋" w:eastAsia="仿宋" w:cs="Times New Roman"/>
          <w:sz w:val="28"/>
          <w:szCs w:val="28"/>
          <w:highlight w:val="none"/>
        </w:rPr>
        <w:t>。</w:t>
      </w:r>
    </w:p>
    <w:p w14:paraId="2077317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6.</w:t>
      </w:r>
      <w:r>
        <w:rPr>
          <w:rFonts w:ascii="仿宋" w:hAnsi="仿宋" w:eastAsia="仿宋" w:cs="Times New Roman"/>
          <w:sz w:val="28"/>
          <w:szCs w:val="28"/>
          <w:highlight w:val="none"/>
        </w:rPr>
        <w:t>现场咨询服务</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每年度≥6次，每次≥3小时</w:t>
      </w:r>
      <w:r>
        <w:rPr>
          <w:rFonts w:hint="eastAsia" w:ascii="仿宋" w:hAnsi="仿宋" w:eastAsia="仿宋" w:cs="Times New Roman"/>
          <w:sz w:val="28"/>
          <w:szCs w:val="28"/>
          <w:highlight w:val="none"/>
        </w:rPr>
        <w:t>。</w:t>
      </w:r>
    </w:p>
    <w:p w14:paraId="3F5A29B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7.处理甲方交办的其他法律事务。</w:t>
      </w:r>
    </w:p>
    <w:p w14:paraId="64C03C1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8.拟派</w:t>
      </w:r>
      <w:r>
        <w:rPr>
          <w:rFonts w:hint="eastAsia" w:ascii="仿宋" w:hAnsi="仿宋" w:eastAsia="仿宋" w:cs="Times New Roman"/>
          <w:sz w:val="28"/>
          <w:szCs w:val="28"/>
          <w:highlight w:val="none"/>
        </w:rPr>
        <w:t>医疗损害责任纠纷案件</w:t>
      </w:r>
      <w:r>
        <w:rPr>
          <w:rFonts w:hint="eastAsia" w:ascii="仿宋" w:hAnsi="仿宋" w:eastAsia="仿宋" w:cs="Times New Roman"/>
          <w:sz w:val="28"/>
          <w:szCs w:val="28"/>
          <w:highlight w:val="none"/>
          <w:lang w:val="en-US" w:eastAsia="zh-CN"/>
        </w:rPr>
        <w:t>代理律师：执业≥5年,2021年1月1日以来代理医疗损害案件≥5宗，</w:t>
      </w:r>
      <w:r>
        <w:rPr>
          <w:rFonts w:hint="eastAsia" w:ascii="仿宋" w:hAnsi="仿宋" w:eastAsia="仿宋" w:cs="Times New Roman"/>
          <w:sz w:val="28"/>
          <w:szCs w:val="28"/>
          <w:highlight w:val="none"/>
        </w:rPr>
        <w:t>并为采购人组建相对固定且不少于2人的法律顾问团队，团队成员未经采购人同意不得更换。</w:t>
      </w:r>
    </w:p>
    <w:p w14:paraId="3A7DC4C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二、诉讼代理</w:t>
      </w:r>
      <w:r>
        <w:rPr>
          <w:rFonts w:hint="eastAsia" w:ascii="MS Mincho" w:hAnsi="MS Mincho" w:eastAsia="MS Mincho" w:cs="MS Mincho"/>
          <w:b/>
          <w:bCs/>
          <w:sz w:val="28"/>
          <w:szCs w:val="28"/>
          <w:highlight w:val="none"/>
        </w:rPr>
        <w:t>​</w:t>
      </w:r>
    </w:p>
    <w:p w14:paraId="01D03BFB">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（一）代理甲方委托的所有诉讼、仲裁及调解案件。</w:t>
      </w:r>
    </w:p>
    <w:p w14:paraId="05F33EEC">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b/>
          <w:bCs/>
          <w:sz w:val="28"/>
          <w:szCs w:val="28"/>
          <w:highlight w:val="none"/>
        </w:rPr>
        <w:t>（二）</w:t>
      </w:r>
      <w:r>
        <w:rPr>
          <w:rFonts w:ascii="仿宋" w:hAnsi="仿宋" w:eastAsia="仿宋" w:cs="Times New Roman"/>
          <w:b/>
          <w:bCs/>
          <w:sz w:val="28"/>
          <w:szCs w:val="28"/>
          <w:highlight w:val="none"/>
        </w:rPr>
        <w:t>免费代理范围</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1E4EE143">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所有行政诉讼、劳动人事争议仲裁及诉讼</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每年度1起标的额≤10万元的民事诉讼</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（差旅费</w:t>
      </w:r>
      <w:r>
        <w:rPr>
          <w:rFonts w:hint="eastAsia" w:ascii="仿宋" w:hAnsi="仿宋" w:eastAsia="仿宋" w:cs="Times New Roman"/>
          <w:sz w:val="28"/>
          <w:szCs w:val="28"/>
          <w:highlight w:val="none"/>
        </w:rPr>
        <w:t>均</w:t>
      </w:r>
      <w:r>
        <w:rPr>
          <w:rFonts w:ascii="仿宋" w:hAnsi="仿宋" w:eastAsia="仿宋" w:cs="Times New Roman"/>
          <w:sz w:val="28"/>
          <w:szCs w:val="28"/>
          <w:highlight w:val="none"/>
        </w:rPr>
        <w:t>由甲方实报实销）</w:t>
      </w:r>
    </w:p>
    <w:p w14:paraId="53247CC3">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b/>
          <w:bCs/>
          <w:sz w:val="28"/>
          <w:szCs w:val="28"/>
          <w:highlight w:val="none"/>
        </w:rPr>
        <w:t>（三）</w:t>
      </w:r>
      <w:r>
        <w:rPr>
          <w:rFonts w:ascii="仿宋" w:hAnsi="仿宋" w:eastAsia="仿宋" w:cs="Times New Roman"/>
          <w:b/>
          <w:bCs/>
          <w:sz w:val="28"/>
          <w:szCs w:val="28"/>
          <w:highlight w:val="none"/>
        </w:rPr>
        <w:t>医疗损害责任纠纷代理</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51DA0EF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医疗损害责任纠纷案件代理律师：执业≥5年,2021年1月1日以来代理医疗损害案件≥5宗</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 xml:space="preserve"> </w:t>
      </w:r>
    </w:p>
    <w:p w14:paraId="11B4AEF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第二条 服务团队</w:t>
      </w:r>
      <w:r>
        <w:rPr>
          <w:rFonts w:hint="eastAsia" w:ascii="MS Mincho" w:hAnsi="MS Mincho" w:eastAsia="MS Mincho" w:cs="MS Mincho"/>
          <w:b/>
          <w:bCs/>
          <w:sz w:val="28"/>
          <w:szCs w:val="28"/>
          <w:highlight w:val="none"/>
        </w:rPr>
        <w:t>​</w:t>
      </w:r>
      <w:r>
        <w:rPr>
          <w:rFonts w:hint="eastAsia" w:ascii="仿宋" w:hAnsi="仿宋" w:eastAsia="仿宋" w:cs="Times New Roman"/>
          <w:b/>
          <w:bCs/>
          <w:sz w:val="28"/>
          <w:szCs w:val="28"/>
          <w:highlight w:val="none"/>
        </w:rPr>
        <w:t>及联系人</w:t>
      </w:r>
    </w:p>
    <w:p w14:paraId="5BA977E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主办律师</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0F698C8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 xml:space="preserve">姓名：_________ </w:t>
      </w:r>
    </w:p>
    <w:p w14:paraId="71422CF4">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律师</w:t>
      </w:r>
      <w:r>
        <w:rPr>
          <w:rFonts w:ascii="仿宋" w:hAnsi="仿宋" w:eastAsia="仿宋" w:cs="Times New Roman"/>
          <w:b/>
          <w:bCs/>
          <w:sz w:val="28"/>
          <w:szCs w:val="28"/>
          <w:highlight w:val="none"/>
        </w:rPr>
        <w:t>团队</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12C381FB">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成员：_________</w:t>
      </w:r>
    </w:p>
    <w:p w14:paraId="47A5601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u w:val="single"/>
        </w:rPr>
      </w:pPr>
      <w:r>
        <w:rPr>
          <w:rFonts w:hint="eastAsia" w:ascii="仿宋" w:hAnsi="仿宋" w:eastAsia="仿宋" w:cs="Times New Roman"/>
          <w:b/>
          <w:bCs/>
          <w:sz w:val="28"/>
          <w:szCs w:val="28"/>
          <w:highlight w:val="none"/>
        </w:rPr>
        <w:t>甲方联系人：</w:t>
      </w:r>
      <w:r>
        <w:rPr>
          <w:rFonts w:hint="eastAsia" w:ascii="仿宋" w:hAnsi="仿宋" w:eastAsia="仿宋" w:cs="Times New Roman"/>
          <w:b/>
          <w:bCs/>
          <w:sz w:val="28"/>
          <w:szCs w:val="28"/>
          <w:highlight w:val="none"/>
          <w:u w:val="single"/>
        </w:rPr>
        <w:t xml:space="preserve">          </w:t>
      </w:r>
    </w:p>
    <w:p w14:paraId="2E63225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第三条 服务期限与续签</w:t>
      </w:r>
      <w:r>
        <w:rPr>
          <w:rFonts w:hint="eastAsia" w:ascii="MS Mincho" w:hAnsi="MS Mincho" w:eastAsia="MS Mincho" w:cs="MS Mincho"/>
          <w:b/>
          <w:bCs/>
          <w:sz w:val="28"/>
          <w:szCs w:val="28"/>
          <w:highlight w:val="none"/>
        </w:rPr>
        <w:t>​</w:t>
      </w:r>
    </w:p>
    <w:p w14:paraId="2C2996B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本合同有效期</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：______年______月______日至______年______月______日</w:t>
      </w:r>
    </w:p>
    <w:p w14:paraId="3FFBA05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合同期满前30日，甲方根据乙方履约考核决定是否续签</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每次续签期限1年，累计不超过2次</w:t>
      </w:r>
      <w:r>
        <w:rPr>
          <w:rFonts w:hint="eastAsia" w:ascii="仿宋" w:hAnsi="仿宋" w:eastAsia="仿宋" w:cs="Times New Roman"/>
          <w:sz w:val="28"/>
          <w:szCs w:val="28"/>
          <w:highlight w:val="none"/>
        </w:rPr>
        <w:t>。</w:t>
      </w:r>
    </w:p>
    <w:p w14:paraId="33424F3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p w14:paraId="11E6D51E">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第四条 费用与支付</w:t>
      </w:r>
      <w:r>
        <w:rPr>
          <w:rFonts w:hint="eastAsia" w:ascii="MS Mincho" w:hAnsi="MS Mincho" w:eastAsia="MS Mincho" w:cs="MS Mincho"/>
          <w:b/>
          <w:bCs/>
          <w:sz w:val="28"/>
          <w:szCs w:val="28"/>
          <w:highlight w:val="none"/>
        </w:rPr>
        <w:t>​</w:t>
      </w:r>
    </w:p>
    <w:p w14:paraId="5F8AA05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（一）常年法律顾问费</w:t>
      </w:r>
      <w:r>
        <w:rPr>
          <w:rFonts w:hint="eastAsia" w:ascii="MS Mincho" w:hAnsi="MS Mincho" w:eastAsia="MS Mincho" w:cs="MS Mincho"/>
          <w:b/>
          <w:bCs/>
          <w:sz w:val="28"/>
          <w:szCs w:val="28"/>
          <w:highlight w:val="none"/>
        </w:rPr>
        <w:t>​</w:t>
      </w:r>
    </w:p>
    <w:p w14:paraId="6435E52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 xml:space="preserve">金额：人民币_________（大写：）元/年 </w:t>
      </w:r>
    </w:p>
    <w:p w14:paraId="02A5B256">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支付时间：每服务年度第2个自然月内一次性支付</w:t>
      </w:r>
      <w:r>
        <w:rPr>
          <w:rFonts w:hint="eastAsia" w:ascii="仿宋" w:hAnsi="仿宋" w:eastAsia="仿宋" w:cs="Times New Roman"/>
          <w:sz w:val="28"/>
          <w:szCs w:val="28"/>
          <w:highlight w:val="none"/>
        </w:rPr>
        <w:t>，乙方须在付款前提供发票。</w:t>
      </w:r>
    </w:p>
    <w:p w14:paraId="29B74F8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b/>
          <w:bCs/>
          <w:sz w:val="28"/>
          <w:szCs w:val="28"/>
          <w:highlight w:val="none"/>
        </w:rPr>
      </w:pPr>
      <w:r>
        <w:rPr>
          <w:rFonts w:hint="eastAsia" w:ascii="MS Mincho" w:hAnsi="MS Mincho" w:eastAsia="MS Mincho" w:cs="MS Mincho"/>
          <w:b/>
          <w:bCs/>
          <w:sz w:val="28"/>
          <w:szCs w:val="28"/>
          <w:highlight w:val="none"/>
        </w:rPr>
        <w:t>​​</w:t>
      </w:r>
      <w:r>
        <w:rPr>
          <w:rFonts w:ascii="仿宋" w:hAnsi="仿宋" w:eastAsia="仿宋" w:cs="Times New Roman"/>
          <w:b/>
          <w:bCs/>
          <w:sz w:val="28"/>
          <w:szCs w:val="28"/>
          <w:highlight w:val="none"/>
        </w:rPr>
        <w:t>（二）诉讼</w:t>
      </w:r>
      <w:r>
        <w:rPr>
          <w:rFonts w:hint="eastAsia" w:ascii="仿宋" w:hAnsi="仿宋" w:eastAsia="仿宋" w:cs="Times New Roman"/>
          <w:b/>
          <w:bCs/>
          <w:sz w:val="28"/>
          <w:szCs w:val="28"/>
          <w:highlight w:val="none"/>
        </w:rPr>
        <w:t>/仲裁</w:t>
      </w:r>
      <w:r>
        <w:rPr>
          <w:rFonts w:ascii="仿宋" w:hAnsi="仿宋" w:eastAsia="仿宋" w:cs="Times New Roman"/>
          <w:b/>
          <w:bCs/>
          <w:sz w:val="28"/>
          <w:szCs w:val="28"/>
          <w:highlight w:val="none"/>
        </w:rPr>
        <w:t>代理费</w:t>
      </w:r>
      <w:r>
        <w:rPr>
          <w:rFonts w:hint="eastAsia" w:ascii="MS Mincho" w:hAnsi="MS Mincho" w:eastAsia="MS Mincho" w:cs="MS Mincho"/>
          <w:b/>
          <w:bCs/>
          <w:sz w:val="28"/>
          <w:szCs w:val="28"/>
          <w:highlight w:val="none"/>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156"/>
        <w:gridCol w:w="2652"/>
        <w:gridCol w:w="1858"/>
      </w:tblGrid>
      <w:tr w14:paraId="5971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7873CAE9">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案件类型</w:t>
            </w:r>
          </w:p>
        </w:tc>
        <w:tc>
          <w:tcPr>
            <w:tcW w:w="4586" w:type="dxa"/>
            <w:gridSpan w:val="2"/>
            <w:shd w:val="clear" w:color="auto" w:fill="auto"/>
            <w:tcMar>
              <w:top w:w="150" w:type="dxa"/>
              <w:left w:w="180" w:type="dxa"/>
              <w:bottom w:w="150" w:type="dxa"/>
              <w:right w:w="180" w:type="dxa"/>
            </w:tcMar>
            <w:vAlign w:val="center"/>
          </w:tcPr>
          <w:p w14:paraId="0D3C32B3">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收费方式</w:t>
            </w:r>
          </w:p>
        </w:tc>
      </w:tr>
      <w:tr w14:paraId="0E6D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7BD77C2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医疗损害责任纠纷</w:t>
            </w:r>
            <w:r>
              <w:rPr>
                <w:rFonts w:hint="eastAsia" w:ascii="MS Mincho" w:hAnsi="MS Mincho" w:eastAsia="MS Mincho" w:cs="MS Mincho"/>
                <w:sz w:val="28"/>
                <w:szCs w:val="28"/>
                <w:highlight w:val="none"/>
              </w:rPr>
              <w:t>​</w:t>
            </w:r>
          </w:p>
        </w:tc>
        <w:tc>
          <w:tcPr>
            <w:tcW w:w="4586" w:type="dxa"/>
            <w:gridSpan w:val="2"/>
            <w:shd w:val="clear" w:color="auto" w:fill="auto"/>
            <w:tcMar>
              <w:top w:w="150" w:type="dxa"/>
              <w:left w:w="180" w:type="dxa"/>
              <w:bottom w:w="150" w:type="dxa"/>
              <w:right w:w="180" w:type="dxa"/>
            </w:tcMar>
            <w:vAlign w:val="center"/>
          </w:tcPr>
          <w:p w14:paraId="14C2C0DB">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一、二审阶段每件总计：</w:t>
            </w:r>
            <w:r>
              <w:rPr>
                <w:rFonts w:ascii="Calibri" w:hAnsi="Calibri" w:eastAsia="仿宋" w:cs="Calibri"/>
                <w:sz w:val="28"/>
                <w:szCs w:val="28"/>
                <w:highlight w:val="none"/>
              </w:rPr>
              <w:t>¥</w:t>
            </w:r>
            <w:r>
              <w:rPr>
                <w:rFonts w:ascii="仿宋" w:hAnsi="仿宋" w:eastAsia="仿宋" w:cs="Times New Roman"/>
                <w:sz w:val="28"/>
                <w:szCs w:val="28"/>
                <w:highlight w:val="none"/>
              </w:rPr>
              <w:t>_________元</w:t>
            </w:r>
          </w:p>
        </w:tc>
      </w:tr>
      <w:tr w14:paraId="5E30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14F7CE2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c>
          <w:tcPr>
            <w:tcW w:w="4586" w:type="dxa"/>
            <w:gridSpan w:val="2"/>
            <w:shd w:val="clear" w:color="auto" w:fill="auto"/>
            <w:tcMar>
              <w:top w:w="150" w:type="dxa"/>
              <w:left w:w="180" w:type="dxa"/>
              <w:bottom w:w="150" w:type="dxa"/>
              <w:right w:w="180" w:type="dxa"/>
            </w:tcMar>
            <w:vAlign w:val="center"/>
          </w:tcPr>
          <w:p w14:paraId="01ACD33D">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再审阶段：一、二审费×_________%</w:t>
            </w:r>
          </w:p>
        </w:tc>
      </w:tr>
      <w:tr w14:paraId="1C67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065A1AAD">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其他民事案件</w:t>
            </w:r>
            <w:r>
              <w:rPr>
                <w:rFonts w:hint="eastAsia" w:ascii="MS Mincho" w:hAnsi="MS Mincho" w:eastAsia="MS Mincho" w:cs="MS Mincho"/>
                <w:sz w:val="28"/>
                <w:szCs w:val="28"/>
                <w:highlight w:val="none"/>
              </w:rPr>
              <w:t>​</w:t>
            </w:r>
          </w:p>
        </w:tc>
        <w:tc>
          <w:tcPr>
            <w:tcW w:w="4586" w:type="dxa"/>
            <w:gridSpan w:val="2"/>
            <w:shd w:val="clear" w:color="auto" w:fill="auto"/>
            <w:tcMar>
              <w:top w:w="150" w:type="dxa"/>
              <w:left w:w="180" w:type="dxa"/>
              <w:bottom w:w="150" w:type="dxa"/>
              <w:right w:w="180" w:type="dxa"/>
            </w:tcMar>
            <w:vAlign w:val="center"/>
          </w:tcPr>
          <w:p w14:paraId="49BE1638">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基础代理费：</w:t>
            </w:r>
            <w:r>
              <w:rPr>
                <w:rFonts w:ascii="Calibri" w:hAnsi="Calibri" w:eastAsia="仿宋" w:cs="Calibri"/>
                <w:sz w:val="28"/>
                <w:szCs w:val="28"/>
                <w:highlight w:val="none"/>
              </w:rPr>
              <w:t>¥</w:t>
            </w:r>
            <w:r>
              <w:rPr>
                <w:rFonts w:ascii="仿宋" w:hAnsi="仿宋" w:eastAsia="仿宋" w:cs="Times New Roman"/>
                <w:sz w:val="28"/>
                <w:szCs w:val="28"/>
                <w:highlight w:val="none"/>
              </w:rPr>
              <w:t>_________元</w:t>
            </w:r>
          </w:p>
        </w:tc>
      </w:tr>
      <w:tr w14:paraId="182E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5B7EBB25">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争议标的</w:t>
            </w:r>
          </w:p>
        </w:tc>
        <w:tc>
          <w:tcPr>
            <w:tcW w:w="2693" w:type="dxa"/>
            <w:shd w:val="clear" w:color="auto" w:fill="auto"/>
            <w:tcMar>
              <w:top w:w="150" w:type="dxa"/>
              <w:left w:w="180" w:type="dxa"/>
              <w:bottom w:w="150" w:type="dxa"/>
              <w:right w:w="180" w:type="dxa"/>
            </w:tcMar>
          </w:tcPr>
          <w:p w14:paraId="4BA7129B">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院定费率</w:t>
            </w:r>
          </w:p>
        </w:tc>
        <w:tc>
          <w:tcPr>
            <w:tcW w:w="1893" w:type="dxa"/>
            <w:shd w:val="clear" w:color="auto" w:fill="auto"/>
          </w:tcPr>
          <w:p w14:paraId="27DE59F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折扣率</w:t>
            </w:r>
          </w:p>
        </w:tc>
      </w:tr>
      <w:tr w14:paraId="5896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4248" w:type="dxa"/>
            <w:shd w:val="clear" w:color="auto" w:fill="auto"/>
            <w:tcMar>
              <w:top w:w="150" w:type="dxa"/>
              <w:left w:w="180" w:type="dxa"/>
              <w:bottom w:w="150" w:type="dxa"/>
              <w:right w:w="180" w:type="dxa"/>
            </w:tcMar>
          </w:tcPr>
          <w:p w14:paraId="6894CF03">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10万元（不含）-50万元（含）</w:t>
            </w:r>
          </w:p>
        </w:tc>
        <w:tc>
          <w:tcPr>
            <w:tcW w:w="2693" w:type="dxa"/>
            <w:shd w:val="clear" w:color="auto" w:fill="auto"/>
            <w:tcMar>
              <w:top w:w="150" w:type="dxa"/>
              <w:left w:w="180" w:type="dxa"/>
              <w:bottom w:w="150" w:type="dxa"/>
              <w:right w:w="180" w:type="dxa"/>
            </w:tcMar>
          </w:tcPr>
          <w:p w14:paraId="1E449B16">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2%</w:t>
            </w:r>
          </w:p>
        </w:tc>
        <w:tc>
          <w:tcPr>
            <w:tcW w:w="1893" w:type="dxa"/>
            <w:vMerge w:val="restart"/>
            <w:shd w:val="clear" w:color="auto" w:fill="auto"/>
          </w:tcPr>
          <w:p w14:paraId="2FD6A57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796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1DF8F3E0">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50万元（不含）-100万元（含）</w:t>
            </w:r>
          </w:p>
        </w:tc>
        <w:tc>
          <w:tcPr>
            <w:tcW w:w="2693" w:type="dxa"/>
            <w:shd w:val="clear" w:color="auto" w:fill="auto"/>
            <w:tcMar>
              <w:top w:w="150" w:type="dxa"/>
              <w:left w:w="180" w:type="dxa"/>
              <w:bottom w:w="150" w:type="dxa"/>
              <w:right w:w="180" w:type="dxa"/>
            </w:tcMar>
          </w:tcPr>
          <w:p w14:paraId="2B4A9779">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1.5%</w:t>
            </w:r>
          </w:p>
        </w:tc>
        <w:tc>
          <w:tcPr>
            <w:tcW w:w="1893" w:type="dxa"/>
            <w:vMerge w:val="continue"/>
            <w:shd w:val="clear" w:color="auto" w:fill="auto"/>
          </w:tcPr>
          <w:p w14:paraId="72B08867">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6615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19F811EF">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100万元（不含）-500万元（含）</w:t>
            </w:r>
          </w:p>
        </w:tc>
        <w:tc>
          <w:tcPr>
            <w:tcW w:w="2693" w:type="dxa"/>
            <w:shd w:val="clear" w:color="auto" w:fill="auto"/>
            <w:tcMar>
              <w:top w:w="150" w:type="dxa"/>
              <w:left w:w="180" w:type="dxa"/>
              <w:bottom w:w="150" w:type="dxa"/>
              <w:right w:w="180" w:type="dxa"/>
            </w:tcMar>
          </w:tcPr>
          <w:p w14:paraId="5D07B2B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w:t>
            </w:r>
          </w:p>
        </w:tc>
        <w:tc>
          <w:tcPr>
            <w:tcW w:w="1893" w:type="dxa"/>
            <w:vMerge w:val="continue"/>
            <w:shd w:val="clear" w:color="auto" w:fill="auto"/>
          </w:tcPr>
          <w:p w14:paraId="5CD4ADA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1C5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64F86AF5">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500万元（不含）-1000万元（含）</w:t>
            </w:r>
          </w:p>
        </w:tc>
        <w:tc>
          <w:tcPr>
            <w:tcW w:w="2693" w:type="dxa"/>
            <w:shd w:val="clear" w:color="auto" w:fill="auto"/>
            <w:tcMar>
              <w:top w:w="150" w:type="dxa"/>
              <w:left w:w="180" w:type="dxa"/>
              <w:bottom w:w="150" w:type="dxa"/>
              <w:right w:w="180" w:type="dxa"/>
            </w:tcMar>
          </w:tcPr>
          <w:p w14:paraId="1E166B6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0.5%</w:t>
            </w:r>
          </w:p>
        </w:tc>
        <w:tc>
          <w:tcPr>
            <w:tcW w:w="1893" w:type="dxa"/>
            <w:vMerge w:val="continue"/>
            <w:shd w:val="clear" w:color="auto" w:fill="auto"/>
          </w:tcPr>
          <w:p w14:paraId="292C1C96">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242F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47BEC733">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1000万元（不含）以上</w:t>
            </w:r>
          </w:p>
        </w:tc>
        <w:tc>
          <w:tcPr>
            <w:tcW w:w="2693" w:type="dxa"/>
            <w:shd w:val="clear" w:color="auto" w:fill="auto"/>
            <w:tcMar>
              <w:top w:w="150" w:type="dxa"/>
              <w:left w:w="180" w:type="dxa"/>
              <w:bottom w:w="150" w:type="dxa"/>
              <w:right w:w="180" w:type="dxa"/>
            </w:tcMar>
          </w:tcPr>
          <w:p w14:paraId="60646C0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0.4%</w:t>
            </w:r>
          </w:p>
        </w:tc>
        <w:tc>
          <w:tcPr>
            <w:tcW w:w="1893" w:type="dxa"/>
            <w:vMerge w:val="continue"/>
            <w:shd w:val="clear" w:color="auto" w:fill="auto"/>
          </w:tcPr>
          <w:p w14:paraId="7CECD18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0730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34" w:type="dxa"/>
            <w:gridSpan w:val="3"/>
            <w:shd w:val="clear" w:color="auto" w:fill="auto"/>
            <w:tcMar>
              <w:top w:w="150" w:type="dxa"/>
              <w:left w:w="180" w:type="dxa"/>
              <w:bottom w:w="150" w:type="dxa"/>
              <w:right w:w="180" w:type="dxa"/>
            </w:tcMar>
          </w:tcPr>
          <w:p w14:paraId="4C459FCD">
            <w:pPr>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1.如争议标的为200万元，投标单位报价折扣率80%，</w:t>
            </w:r>
          </w:p>
          <w:p w14:paraId="26104D99">
            <w:pPr>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则最终收费为:基础代理费+（40万*2%+50万*1.5%+100万*1%)*80%=基本代理费+20400元）。</w:t>
            </w:r>
          </w:p>
          <w:p w14:paraId="5A7D9D0E">
            <w:pPr>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2.单个案件最终收费不高于15万元，包括一审、二审,以及有可能产生的再审、发回重审、执行等程序，以最终结案的法律文书为准。</w:t>
            </w:r>
          </w:p>
          <w:p w14:paraId="557B9125">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3.根据案件实际情况,经采购人同意，律所可以安排常年法律顾问团队以外的具有专业知识的本所执业律师代理相关案件。</w:t>
            </w:r>
          </w:p>
          <w:p w14:paraId="269397B8">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4.甲方于结案后且收到乙方发票45个工作日内支付。</w:t>
            </w:r>
          </w:p>
        </w:tc>
      </w:tr>
    </w:tbl>
    <w:p w14:paraId="10161022">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注</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非免费代理案件，</w:t>
      </w:r>
      <w:r>
        <w:rPr>
          <w:rFonts w:ascii="仿宋" w:hAnsi="仿宋" w:eastAsia="仿宋" w:cs="Times New Roman"/>
          <w:sz w:val="28"/>
          <w:szCs w:val="28"/>
          <w:highlight w:val="none"/>
        </w:rPr>
        <w:t>差旅费由乙方自行承担</w:t>
      </w:r>
    </w:p>
    <w:p w14:paraId="70F8F96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第五条 双方权利义务</w:t>
      </w:r>
      <w:r>
        <w:rPr>
          <w:rFonts w:hint="eastAsia" w:ascii="MS Mincho" w:hAnsi="MS Mincho" w:eastAsia="MS Mincho" w:cs="MS Mincho"/>
          <w:b/>
          <w:bCs/>
          <w:sz w:val="28"/>
          <w:szCs w:val="28"/>
          <w:highlight w:val="none"/>
        </w:rPr>
        <w:t>​</w:t>
      </w:r>
    </w:p>
    <w:p w14:paraId="1A84B5F1">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hint="eastAsia" w:ascii="仿宋" w:hAnsi="仿宋" w:eastAsia="仿宋" w:cs="MS Mincho"/>
          <w:b/>
          <w:bCs/>
          <w:sz w:val="28"/>
          <w:szCs w:val="28"/>
          <w:highlight w:val="none"/>
        </w:rPr>
        <w:t>（一）</w:t>
      </w:r>
      <w:r>
        <w:rPr>
          <w:rFonts w:ascii="仿宋" w:hAnsi="仿宋" w:eastAsia="仿宋" w:cs="Times New Roman"/>
          <w:b/>
          <w:bCs/>
          <w:sz w:val="28"/>
          <w:szCs w:val="28"/>
          <w:highlight w:val="none"/>
        </w:rPr>
        <w:t>甲方义务</w:t>
      </w:r>
      <w:r>
        <w:rPr>
          <w:rFonts w:hint="eastAsia" w:ascii="MS Mincho" w:hAnsi="MS Mincho" w:eastAsia="MS Mincho" w:cs="MS Mincho"/>
          <w:b/>
          <w:bCs/>
          <w:sz w:val="28"/>
          <w:szCs w:val="28"/>
          <w:highlight w:val="none"/>
        </w:rPr>
        <w:t>​</w:t>
      </w:r>
    </w:p>
    <w:p w14:paraId="12736FF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提供必要文件及工作条件</w:t>
      </w:r>
      <w:r>
        <w:rPr>
          <w:rFonts w:hint="eastAsia" w:ascii="仿宋" w:hAnsi="仿宋" w:eastAsia="仿宋" w:cs="Times New Roman"/>
          <w:sz w:val="28"/>
          <w:szCs w:val="28"/>
          <w:highlight w:val="none"/>
        </w:rPr>
        <w:t>。甲方应向乙方如实提供乙方所需要的相关文件、资料及信息，并保证该文件、资料及信息均是真实完整、有效的。</w:t>
      </w:r>
    </w:p>
    <w:p w14:paraId="7044AA00">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乙方仅就本合同第一条约定的委托事项承担责任，并不就甲方的任何决策及非法律风险承担责任，乙方就第一条所述各项事宜涉及的法律问题提出书面意见和建议，甲方予以考虑，如甲方未接受乙方的书面意见和建议而实施任何行为所导致的法律后果和风险乙方不承担责任。</w:t>
      </w:r>
    </w:p>
    <w:p w14:paraId="153ABED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按约支付费用</w:t>
      </w:r>
      <w:r>
        <w:rPr>
          <w:rFonts w:hint="eastAsia" w:ascii="仿宋" w:hAnsi="仿宋" w:eastAsia="仿宋" w:cs="Times New Roman"/>
          <w:sz w:val="28"/>
          <w:szCs w:val="28"/>
          <w:highlight w:val="none"/>
        </w:rPr>
        <w:t>。</w:t>
      </w:r>
    </w:p>
    <w:p w14:paraId="09B7BC89">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hint="eastAsia" w:ascii="仿宋" w:hAnsi="仿宋" w:eastAsia="仿宋" w:cs="MS Mincho"/>
          <w:b/>
          <w:bCs/>
          <w:sz w:val="28"/>
          <w:szCs w:val="28"/>
          <w:highlight w:val="none"/>
        </w:rPr>
        <w:t>（二）</w:t>
      </w:r>
      <w:r>
        <w:rPr>
          <w:rFonts w:ascii="仿宋" w:hAnsi="仿宋" w:eastAsia="仿宋" w:cs="Times New Roman"/>
          <w:b/>
          <w:bCs/>
          <w:sz w:val="28"/>
          <w:szCs w:val="28"/>
          <w:highlight w:val="none"/>
        </w:rPr>
        <w:t>乙方义务</w:t>
      </w:r>
      <w:r>
        <w:rPr>
          <w:rFonts w:hint="eastAsia" w:ascii="MS Mincho" w:hAnsi="MS Mincho" w:eastAsia="MS Mincho" w:cs="MS Mincho"/>
          <w:b/>
          <w:bCs/>
          <w:sz w:val="28"/>
          <w:szCs w:val="28"/>
          <w:highlight w:val="none"/>
        </w:rPr>
        <w:t>​</w:t>
      </w:r>
    </w:p>
    <w:p w14:paraId="68C88E5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确保服务团队稳定性（更换人员须提前15日书面申请）</w:t>
      </w:r>
      <w:r>
        <w:rPr>
          <w:rFonts w:hint="eastAsia" w:ascii="仿宋" w:hAnsi="仿宋" w:eastAsia="仿宋" w:cs="Times New Roman"/>
          <w:sz w:val="28"/>
          <w:szCs w:val="28"/>
          <w:highlight w:val="none"/>
        </w:rPr>
        <w:t>。</w:t>
      </w:r>
    </w:p>
    <w:p w14:paraId="6DB6DD9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2.乙方承诺对上述法律服务内容按国内律师事务所通行标准要求，在保证高质量的前提下,在受委托的权限内勤勉、尽责尽职地为甲方提供法律服务。</w:t>
      </w:r>
    </w:p>
    <w:p w14:paraId="710A614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所有服务成果知识产权归甲方所有</w:t>
      </w:r>
      <w:r>
        <w:rPr>
          <w:rFonts w:hint="eastAsia" w:ascii="仿宋" w:hAnsi="仿宋" w:eastAsia="仿宋" w:cs="Times New Roman"/>
          <w:sz w:val="28"/>
          <w:szCs w:val="28"/>
          <w:highlight w:val="none"/>
        </w:rPr>
        <w:t>。</w:t>
      </w:r>
    </w:p>
    <w:p w14:paraId="36428BF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ascii="仿宋" w:hAnsi="仿宋" w:eastAsia="仿宋" w:cs="Times New Roman"/>
          <w:sz w:val="28"/>
          <w:szCs w:val="28"/>
          <w:highlight w:val="none"/>
        </w:rPr>
        <w:t>保密义务（保密期限至合同终止后5年）</w:t>
      </w:r>
      <w:r>
        <w:rPr>
          <w:rFonts w:hint="eastAsia" w:ascii="仿宋" w:hAnsi="仿宋" w:eastAsia="仿宋" w:cs="Times New Roman"/>
          <w:sz w:val="28"/>
          <w:szCs w:val="28"/>
          <w:highlight w:val="none"/>
        </w:rPr>
        <w:t>。</w:t>
      </w:r>
    </w:p>
    <w:p w14:paraId="3F84FE3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第六条 违约责任</w:t>
      </w:r>
      <w:r>
        <w:rPr>
          <w:rFonts w:hint="eastAsia" w:ascii="MS Mincho" w:hAnsi="MS Mincho" w:eastAsia="MS Mincho" w:cs="MS Mincho"/>
          <w:b/>
          <w:bCs/>
          <w:sz w:val="28"/>
          <w:szCs w:val="28"/>
          <w:highlight w:val="none"/>
        </w:rPr>
        <w:t>​</w:t>
      </w:r>
    </w:p>
    <w:p w14:paraId="6C18427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b/>
          <w:bCs/>
          <w:sz w:val="28"/>
          <w:szCs w:val="28"/>
          <w:highlight w:val="none"/>
          <w:lang w:eastAsia="zh-CN"/>
        </w:rPr>
        <w:t>（</w:t>
      </w:r>
      <w:r>
        <w:rPr>
          <w:rFonts w:hint="eastAsia" w:ascii="仿宋" w:hAnsi="仿宋" w:eastAsia="仿宋" w:cs="MS Mincho"/>
          <w:b/>
          <w:bCs/>
          <w:sz w:val="28"/>
          <w:szCs w:val="28"/>
          <w:highlight w:val="none"/>
        </w:rPr>
        <w:t>一）</w:t>
      </w:r>
      <w:r>
        <w:rPr>
          <w:rFonts w:ascii="仿宋" w:hAnsi="仿宋" w:eastAsia="仿宋" w:cs="Times New Roman"/>
          <w:b/>
          <w:bCs/>
          <w:sz w:val="28"/>
          <w:szCs w:val="28"/>
          <w:highlight w:val="none"/>
        </w:rPr>
        <w:t>乙方违约情形</w:t>
      </w:r>
      <w:r>
        <w:rPr>
          <w:rFonts w:hint="eastAsia" w:ascii="MS Mincho" w:hAnsi="MS Mincho" w:eastAsia="MS Mincho" w:cs="MS Mincho"/>
          <w:b/>
          <w:bCs/>
          <w:sz w:val="28"/>
          <w:szCs w:val="28"/>
          <w:highlight w:val="none"/>
        </w:rPr>
        <w:t>​</w:t>
      </w:r>
      <w:r>
        <w:rPr>
          <w:rFonts w:ascii="仿宋" w:hAnsi="仿宋" w:eastAsia="仿宋" w:cs="Times New Roman"/>
          <w:b/>
          <w:bCs/>
          <w:sz w:val="28"/>
          <w:szCs w:val="28"/>
          <w:highlight w:val="none"/>
        </w:rPr>
        <w:t>：</w:t>
      </w:r>
    </w:p>
    <w:p w14:paraId="79B9BC1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未达服务响应时限（如文件审查超期、紧急事件未到现场）</w:t>
      </w:r>
    </w:p>
    <w:p w14:paraId="6570E24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w:t>
      </w:r>
      <w:r>
        <w:rPr>
          <w:rFonts w:ascii="仿宋" w:hAnsi="仿宋" w:eastAsia="仿宋" w:cs="Times New Roman"/>
          <w:sz w:val="28"/>
          <w:szCs w:val="28"/>
          <w:highlight w:val="none"/>
        </w:rPr>
        <w:t>未经同意更换团队成员</w:t>
      </w:r>
    </w:p>
    <w:p w14:paraId="2242CB8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重大过失导致甲方损失</w:t>
      </w:r>
    </w:p>
    <w:p w14:paraId="36A541E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MS Mincho" w:hAnsi="MS Mincho" w:eastAsia="MS Mincho" w:cs="MS Mincho"/>
          <w:sz w:val="28"/>
          <w:szCs w:val="28"/>
          <w:highlight w:val="none"/>
        </w:rPr>
        <w:t>​</w:t>
      </w:r>
      <w:r>
        <w:rPr>
          <w:rFonts w:ascii="仿宋" w:hAnsi="仿宋" w:eastAsia="仿宋" w:cs="Times New Roman"/>
          <w:b/>
          <w:bCs/>
          <w:sz w:val="28"/>
          <w:szCs w:val="28"/>
          <w:highlight w:val="none"/>
        </w:rPr>
        <w:t>违约金</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：扣减当期顾问费</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/次</w:t>
      </w:r>
      <w:r>
        <w:rPr>
          <w:rFonts w:ascii="仿宋" w:hAnsi="仿宋" w:eastAsia="仿宋" w:cs="Times New Roman"/>
          <w:sz w:val="28"/>
          <w:szCs w:val="28"/>
          <w:highlight w:val="none"/>
        </w:rPr>
        <w:t>，造成损失的另计赔偿</w:t>
      </w:r>
    </w:p>
    <w:p w14:paraId="7CDE877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sz w:val="28"/>
          <w:szCs w:val="28"/>
          <w:highlight w:val="none"/>
        </w:rPr>
        <w:t>（二）</w:t>
      </w:r>
      <w:r>
        <w:rPr>
          <w:rFonts w:ascii="仿宋" w:hAnsi="仿宋" w:eastAsia="仿宋" w:cs="Times New Roman"/>
          <w:b/>
          <w:bCs/>
          <w:sz w:val="28"/>
          <w:szCs w:val="28"/>
          <w:highlight w:val="none"/>
        </w:rPr>
        <w:t>甲方违约</w:t>
      </w:r>
      <w:r>
        <w:rPr>
          <w:rFonts w:hint="eastAsia" w:ascii="MS Mincho" w:hAnsi="MS Mincho" w:eastAsia="MS Mincho" w:cs="MS Mincho"/>
          <w:b/>
          <w:bCs/>
          <w:sz w:val="28"/>
          <w:szCs w:val="28"/>
          <w:highlight w:val="none"/>
        </w:rPr>
        <w:t>​</w:t>
      </w:r>
      <w:r>
        <w:rPr>
          <w:rFonts w:ascii="仿宋" w:hAnsi="仿宋" w:eastAsia="仿宋" w:cs="Times New Roman"/>
          <w:b/>
          <w:bCs/>
          <w:sz w:val="28"/>
          <w:szCs w:val="28"/>
          <w:highlight w:val="none"/>
        </w:rPr>
        <w:t>：</w:t>
      </w:r>
      <w:r>
        <w:rPr>
          <w:rFonts w:ascii="仿宋" w:hAnsi="仿宋" w:eastAsia="仿宋" w:cs="Times New Roman"/>
          <w:sz w:val="28"/>
          <w:szCs w:val="28"/>
          <w:highlight w:val="none"/>
        </w:rPr>
        <w:t>逾期付款按每日0.06%支付滞纳金</w:t>
      </w:r>
    </w:p>
    <w:p w14:paraId="1B5F59E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第七条 合同终止</w:t>
      </w:r>
      <w:r>
        <w:rPr>
          <w:rFonts w:hint="eastAsia" w:ascii="MS Mincho" w:hAnsi="MS Mincho" w:eastAsia="MS Mincho" w:cs="MS Mincho"/>
          <w:b/>
          <w:bCs/>
          <w:sz w:val="28"/>
          <w:szCs w:val="28"/>
          <w:highlight w:val="none"/>
        </w:rPr>
        <w:t>​</w:t>
      </w:r>
    </w:p>
    <w:p w14:paraId="3407B9B3">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（一）</w:t>
      </w:r>
      <w:r>
        <w:rPr>
          <w:rFonts w:ascii="仿宋" w:hAnsi="仿宋" w:eastAsia="仿宋" w:cs="Times New Roman"/>
          <w:sz w:val="28"/>
          <w:szCs w:val="28"/>
          <w:highlight w:val="none"/>
        </w:rPr>
        <w:t>出现以下情形可解除</w:t>
      </w:r>
      <w:r>
        <w:rPr>
          <w:rFonts w:hint="eastAsia" w:ascii="仿宋" w:hAnsi="仿宋" w:eastAsia="仿宋" w:cs="Times New Roman"/>
          <w:sz w:val="28"/>
          <w:szCs w:val="28"/>
          <w:highlight w:val="none"/>
        </w:rPr>
        <w:t>本</w:t>
      </w:r>
      <w:r>
        <w:rPr>
          <w:rFonts w:ascii="仿宋" w:hAnsi="仿宋" w:eastAsia="仿宋" w:cs="Times New Roman"/>
          <w:sz w:val="28"/>
          <w:szCs w:val="28"/>
          <w:highlight w:val="none"/>
        </w:rPr>
        <w:t>合同：</w:t>
      </w:r>
    </w:p>
    <w:p w14:paraId="276BC8B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乙方丧失执业资格或重大违约</w:t>
      </w:r>
    </w:p>
    <w:p w14:paraId="6CFEFEC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w:t>
      </w:r>
      <w:r>
        <w:rPr>
          <w:rFonts w:ascii="仿宋" w:hAnsi="仿宋" w:eastAsia="仿宋" w:cs="Times New Roman"/>
          <w:sz w:val="28"/>
          <w:szCs w:val="28"/>
          <w:highlight w:val="none"/>
        </w:rPr>
        <w:t>甲方</w:t>
      </w:r>
      <w:r>
        <w:rPr>
          <w:rFonts w:hint="eastAsia" w:ascii="仿宋" w:hAnsi="仿宋" w:eastAsia="仿宋" w:cs="Times New Roman"/>
          <w:sz w:val="28"/>
          <w:szCs w:val="28"/>
          <w:highlight w:val="none"/>
        </w:rPr>
        <w:t>组织的</w:t>
      </w:r>
      <w:r>
        <w:rPr>
          <w:rFonts w:ascii="仿宋" w:hAnsi="仿宋" w:eastAsia="仿宋" w:cs="Times New Roman"/>
          <w:sz w:val="28"/>
          <w:szCs w:val="28"/>
          <w:highlight w:val="none"/>
        </w:rPr>
        <w:t>年度考核不合格</w:t>
      </w:r>
    </w:p>
    <w:p w14:paraId="0D80CEEB">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双方协商一致</w:t>
      </w:r>
    </w:p>
    <w:p w14:paraId="218ED0E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（二）合同因乙方原因解除的，预收的法律顾问费应予退还。</w:t>
      </w:r>
    </w:p>
    <w:p w14:paraId="69E02E77">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p w14:paraId="177BE99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w:t>
      </w:r>
      <w:r>
        <w:rPr>
          <w:rFonts w:hint="eastAsia" w:ascii="仿宋" w:hAnsi="仿宋" w:eastAsia="仿宋" w:cs="Times New Roman"/>
          <w:b/>
          <w:bCs/>
          <w:sz w:val="28"/>
          <w:szCs w:val="28"/>
          <w:highlight w:val="none"/>
        </w:rPr>
        <w:t>八</w:t>
      </w:r>
      <w:r>
        <w:rPr>
          <w:rFonts w:ascii="仿宋" w:hAnsi="仿宋" w:eastAsia="仿宋" w:cs="Times New Roman"/>
          <w:b/>
          <w:bCs/>
          <w:sz w:val="28"/>
          <w:szCs w:val="28"/>
          <w:highlight w:val="none"/>
        </w:rPr>
        <w:t>条 合同</w:t>
      </w:r>
      <w:r>
        <w:rPr>
          <w:rFonts w:hint="eastAsia" w:ascii="仿宋" w:hAnsi="仿宋" w:eastAsia="仿宋" w:cs="Times New Roman"/>
          <w:b/>
          <w:bCs/>
          <w:sz w:val="28"/>
          <w:szCs w:val="28"/>
          <w:highlight w:val="none"/>
        </w:rPr>
        <w:t>附则</w:t>
      </w:r>
      <w:r>
        <w:rPr>
          <w:rFonts w:hint="eastAsia" w:ascii="MS Mincho" w:hAnsi="MS Mincho" w:eastAsia="MS Mincho" w:cs="MS Mincho"/>
          <w:b/>
          <w:bCs/>
          <w:sz w:val="28"/>
          <w:szCs w:val="28"/>
          <w:highlight w:val="none"/>
        </w:rPr>
        <w:t>​</w:t>
      </w:r>
    </w:p>
    <w:p w14:paraId="07BCF04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1.本合同壹式贰份，甲乙双方各持壹份，经双方签字盖章后生效。</w:t>
      </w:r>
    </w:p>
    <w:p w14:paraId="25EA24F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 xml:space="preserve">2.本合同与下列文件一起构成合同文件：（1）中标通知书；（2）招标文件；（3）投标文件。 </w:t>
      </w:r>
    </w:p>
    <w:p w14:paraId="5F8DF7B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ascii="仿宋" w:hAnsi="仿宋" w:eastAsia="仿宋" w:cs="Times New Roman"/>
          <w:sz w:val="28"/>
          <w:szCs w:val="28"/>
          <w:highlight w:val="none"/>
        </w:rPr>
      </w:pPr>
      <w:r>
        <w:rPr>
          <w:rFonts w:hint="eastAsia" w:ascii="仿宋" w:hAnsi="仿宋" w:eastAsia="仿宋" w:cs="Times New Roman"/>
          <w:sz w:val="28"/>
          <w:szCs w:val="28"/>
          <w:highlight w:val="none"/>
        </w:rPr>
        <w:t>3.上述合同文件互相补充和解释。如果合同文件之间存在矛盾或不一致之处，以上述文件的排列顺序在先者为准。</w:t>
      </w:r>
    </w:p>
    <w:p w14:paraId="4BB4C2F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hint="eastAsia"/>
          <w:sz w:val="28"/>
          <w:szCs w:val="28"/>
          <w:highlight w:val="none"/>
        </w:rPr>
        <w:t xml:space="preserve"> </w:t>
      </w:r>
      <w:r>
        <w:rPr>
          <w:rFonts w:hint="eastAsia" w:ascii="仿宋" w:hAnsi="仿宋" w:eastAsia="仿宋" w:cs="Times New Roman"/>
          <w:sz w:val="28"/>
          <w:szCs w:val="28"/>
          <w:highlight w:val="none"/>
        </w:rPr>
        <w:t>本合同未尽事宜，甲、乙双方应另行协商并签订补充协议。凡因本合同引起的或与本合同有关的任何争议，由双方友好协商解决。协商不成时，双方均有权向甲方住所地有管辖权的人民法院提起诉讼。</w:t>
      </w:r>
    </w:p>
    <w:p w14:paraId="646431C4">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hint="eastAsia" w:ascii="仿宋" w:hAnsi="仿宋" w:eastAsia="仿宋" w:cs="Times New Roman"/>
          <w:b/>
          <w:bCs/>
          <w:sz w:val="28"/>
          <w:szCs w:val="28"/>
          <w:highlight w:val="none"/>
        </w:rPr>
        <w:t>（以下无正文）</w:t>
      </w:r>
    </w:p>
    <w:p w14:paraId="7ADA9451">
      <w:pPr>
        <w:spacing w:after="0" w:line="480" w:lineRule="exact"/>
        <w:jc w:val="both"/>
        <w:rPr>
          <w:rFonts w:hint="eastAsia" w:ascii="仿宋" w:hAnsi="仿宋" w:eastAsia="仿宋" w:cs="Times New Roman"/>
          <w:b/>
          <w:bCs/>
          <w:sz w:val="32"/>
          <w:szCs w:val="32"/>
          <w:highlight w:val="none"/>
        </w:rPr>
      </w:pPr>
    </w:p>
    <w:p w14:paraId="6E9A45D3">
      <w:pPr>
        <w:spacing w:after="0" w:line="480" w:lineRule="exact"/>
        <w:jc w:val="both"/>
        <w:rPr>
          <w:rFonts w:hint="eastAsia" w:ascii="仿宋" w:hAnsi="仿宋" w:eastAsia="仿宋" w:cs="Times New Roman"/>
          <w:b/>
          <w:bCs/>
          <w:sz w:val="32"/>
          <w:szCs w:val="32"/>
          <w:highlight w:val="none"/>
        </w:rPr>
      </w:pPr>
    </w:p>
    <w:p w14:paraId="64A3CD06">
      <w:pPr>
        <w:spacing w:after="0" w:line="480" w:lineRule="exact"/>
        <w:jc w:val="both"/>
        <w:rPr>
          <w:rFonts w:hint="eastAsia" w:ascii="仿宋" w:hAnsi="仿宋" w:eastAsia="仿宋" w:cs="Times New Roman"/>
          <w:sz w:val="32"/>
          <w:szCs w:val="32"/>
          <w:highlight w:val="none"/>
        </w:rPr>
      </w:pPr>
      <w:r>
        <w:rPr>
          <w:rFonts w:ascii="仿宋" w:hAnsi="仿宋" w:eastAsia="仿宋" w:cs="Times New Roman"/>
          <w:b/>
          <w:bCs/>
          <w:sz w:val="32"/>
          <w:szCs w:val="32"/>
          <w:highlight w:val="none"/>
        </w:rPr>
        <w:t>甲方（盖章）：</w:t>
      </w:r>
      <w:r>
        <w:rPr>
          <w:rFonts w:ascii="仿宋" w:hAnsi="仿宋" w:eastAsia="仿宋" w:cs="Times New Roman"/>
          <w:sz w:val="32"/>
          <w:szCs w:val="32"/>
          <w:highlight w:val="none"/>
        </w:rPr>
        <w:t>__________</w:t>
      </w:r>
      <w:r>
        <w:rPr>
          <w:rFonts w:hint="eastAsia" w:ascii="仿宋" w:hAnsi="仿宋" w:eastAsia="仿宋" w:cs="Times New Roman"/>
          <w:sz w:val="32"/>
          <w:szCs w:val="32"/>
          <w:highlight w:val="none"/>
          <w:lang w:val="en-US" w:eastAsia="zh-CN"/>
        </w:rPr>
        <w:t xml:space="preserve"> </w:t>
      </w:r>
      <w:r>
        <w:rPr>
          <w:rFonts w:ascii="仿宋" w:hAnsi="仿宋" w:eastAsia="仿宋" w:cs="Times New Roman"/>
          <w:b/>
          <w:bCs/>
          <w:sz w:val="32"/>
          <w:szCs w:val="32"/>
          <w:highlight w:val="none"/>
        </w:rPr>
        <w:t>乙方（盖章）：</w:t>
      </w:r>
      <w:r>
        <w:rPr>
          <w:rFonts w:ascii="仿宋" w:hAnsi="仿宋" w:eastAsia="仿宋" w:cs="Times New Roman"/>
          <w:sz w:val="32"/>
          <w:szCs w:val="32"/>
          <w:highlight w:val="none"/>
        </w:rPr>
        <w:t>____________</w:t>
      </w:r>
    </w:p>
    <w:p w14:paraId="54FA9C23">
      <w:pPr>
        <w:spacing w:after="0" w:line="480" w:lineRule="exact"/>
        <w:jc w:val="both"/>
        <w:rPr>
          <w:rFonts w:hint="eastAsia" w:ascii="仿宋" w:hAnsi="仿宋" w:eastAsia="仿宋" w:cs="Times New Roman"/>
          <w:sz w:val="32"/>
          <w:szCs w:val="32"/>
          <w:highlight w:val="none"/>
        </w:rPr>
      </w:pPr>
    </w:p>
    <w:p w14:paraId="0E9C1090">
      <w:pPr>
        <w:spacing w:after="0" w:line="480" w:lineRule="exact"/>
        <w:jc w:val="both"/>
        <w:rPr>
          <w:rFonts w:ascii="仿宋" w:hAnsi="仿宋" w:eastAsia="仿宋" w:cs="Times New Roman"/>
          <w:b/>
          <w:bCs/>
          <w:sz w:val="32"/>
          <w:szCs w:val="32"/>
          <w:highlight w:val="none"/>
        </w:rPr>
      </w:pPr>
      <w:r>
        <w:rPr>
          <w:rFonts w:ascii="仿宋" w:hAnsi="仿宋" w:eastAsia="仿宋" w:cs="Times New Roman"/>
          <w:b/>
          <w:bCs/>
          <w:sz w:val="32"/>
          <w:szCs w:val="32"/>
          <w:highlight w:val="none"/>
        </w:rPr>
        <w:t>法定代表人</w:t>
      </w:r>
      <w:r>
        <w:rPr>
          <w:rFonts w:hint="eastAsia" w:ascii="仿宋" w:hAnsi="仿宋" w:eastAsia="仿宋" w:cs="Times New Roman"/>
          <w:b/>
          <w:bCs/>
          <w:sz w:val="32"/>
          <w:szCs w:val="32"/>
          <w:highlight w:val="none"/>
        </w:rPr>
        <w:t xml:space="preserve">                 </w:t>
      </w:r>
      <w:r>
        <w:rPr>
          <w:rFonts w:ascii="仿宋" w:hAnsi="仿宋" w:eastAsia="仿宋" w:cs="Times New Roman"/>
          <w:b/>
          <w:bCs/>
          <w:sz w:val="32"/>
          <w:szCs w:val="32"/>
          <w:highlight w:val="none"/>
        </w:rPr>
        <w:t>法定代表人</w:t>
      </w:r>
    </w:p>
    <w:p w14:paraId="78DF94EA">
      <w:pPr>
        <w:spacing w:after="0" w:line="480" w:lineRule="exact"/>
        <w:jc w:val="both"/>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或授权代表</w:t>
      </w:r>
      <w:r>
        <w:rPr>
          <w:rFonts w:ascii="仿宋" w:hAnsi="仿宋" w:eastAsia="仿宋" w:cs="Times New Roman"/>
          <w:b/>
          <w:bCs/>
          <w:sz w:val="32"/>
          <w:szCs w:val="32"/>
          <w:highlight w:val="none"/>
        </w:rPr>
        <w:t>签字：</w:t>
      </w:r>
      <w:r>
        <w:rPr>
          <w:rFonts w:ascii="仿宋" w:hAnsi="仿宋" w:eastAsia="仿宋" w:cs="Times New Roman"/>
          <w:sz w:val="32"/>
          <w:szCs w:val="32"/>
          <w:highlight w:val="none"/>
        </w:rPr>
        <w:t>______</w:t>
      </w:r>
      <w:r>
        <w:rPr>
          <w:rFonts w:hint="eastAsia" w:ascii="仿宋" w:hAnsi="仿宋" w:eastAsia="仿宋" w:cs="Times New Roman"/>
          <w:sz w:val="32"/>
          <w:szCs w:val="32"/>
          <w:highlight w:val="none"/>
          <w:lang w:val="en-US" w:eastAsia="zh-CN"/>
        </w:rPr>
        <w:t xml:space="preserve">    </w:t>
      </w:r>
      <w:r>
        <w:rPr>
          <w:rFonts w:hint="eastAsia" w:ascii="仿宋" w:hAnsi="仿宋" w:eastAsia="仿宋" w:cs="Times New Roman"/>
          <w:b/>
          <w:bCs/>
          <w:sz w:val="32"/>
          <w:szCs w:val="32"/>
          <w:highlight w:val="none"/>
        </w:rPr>
        <w:t>或授权代表</w:t>
      </w:r>
      <w:r>
        <w:rPr>
          <w:rFonts w:ascii="仿宋" w:hAnsi="仿宋" w:eastAsia="仿宋" w:cs="Times New Roman"/>
          <w:b/>
          <w:bCs/>
          <w:sz w:val="32"/>
          <w:szCs w:val="32"/>
          <w:highlight w:val="none"/>
        </w:rPr>
        <w:t>签字：</w:t>
      </w:r>
      <w:r>
        <w:rPr>
          <w:rFonts w:hint="eastAsia" w:ascii="MS Mincho" w:hAnsi="MS Mincho" w:eastAsia="MS Mincho" w:cs="MS Mincho"/>
          <w:b/>
          <w:bCs/>
          <w:sz w:val="32"/>
          <w:szCs w:val="32"/>
          <w:highlight w:val="none"/>
        </w:rPr>
        <w:t>​</w:t>
      </w:r>
      <w:r>
        <w:rPr>
          <w:rFonts w:ascii="仿宋" w:hAnsi="仿宋" w:eastAsia="仿宋" w:cs="Times New Roman"/>
          <w:sz w:val="32"/>
          <w:szCs w:val="32"/>
          <w:highlight w:val="none"/>
        </w:rPr>
        <w:t>_________</w:t>
      </w:r>
    </w:p>
    <w:p w14:paraId="6BF13663">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45"/>
    <w:p w14:paraId="26820FA4">
      <w:pPr>
        <w:spacing w:line="360" w:lineRule="auto"/>
        <w:jc w:val="center"/>
        <w:outlineLvl w:val="0"/>
        <w:rPr>
          <w:rFonts w:ascii="宋体" w:hAnsi="宋体" w:eastAsia="宋体"/>
          <w:b/>
          <w:color w:val="auto"/>
          <w:sz w:val="28"/>
          <w:highlight w:val="none"/>
        </w:rPr>
      </w:pPr>
      <w:bookmarkStart w:id="46" w:name="_Toc22492"/>
      <w:r>
        <w:rPr>
          <w:rFonts w:hint="eastAsia" w:ascii="宋体" w:hAnsi="宋体" w:eastAsia="宋体"/>
          <w:b/>
          <w:color w:val="auto"/>
          <w:sz w:val="28"/>
          <w:highlight w:val="none"/>
        </w:rPr>
        <w:t>第六章  投标文件格式</w:t>
      </w:r>
      <w:bookmarkEnd w:id="46"/>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47" w:name="_Toc651"/>
      <w:r>
        <w:rPr>
          <w:rFonts w:hint="eastAsia" w:ascii="宋体" w:hAnsi="宋体" w:eastAsia="宋体"/>
          <w:b/>
          <w:color w:val="auto"/>
          <w:sz w:val="72"/>
          <w:highlight w:val="none"/>
        </w:rPr>
        <w:t>投</w:t>
      </w:r>
      <w:bookmarkEnd w:id="47"/>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48" w:name="_Toc6148"/>
      <w:r>
        <w:rPr>
          <w:rFonts w:hint="eastAsia" w:ascii="宋体" w:hAnsi="宋体" w:eastAsia="宋体"/>
          <w:b/>
          <w:color w:val="auto"/>
          <w:sz w:val="72"/>
          <w:highlight w:val="none"/>
        </w:rPr>
        <w:t>标</w:t>
      </w:r>
      <w:bookmarkEnd w:id="48"/>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49" w:name="_Toc1338"/>
      <w:r>
        <w:rPr>
          <w:rFonts w:hint="eastAsia" w:ascii="宋体" w:hAnsi="宋体" w:eastAsia="宋体"/>
          <w:b/>
          <w:color w:val="auto"/>
          <w:sz w:val="72"/>
          <w:highlight w:val="none"/>
        </w:rPr>
        <w:t>文</w:t>
      </w:r>
      <w:bookmarkEnd w:id="49"/>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50" w:name="_Toc10796"/>
      <w:r>
        <w:rPr>
          <w:rFonts w:hint="eastAsia" w:ascii="宋体" w:hAnsi="宋体" w:eastAsia="宋体"/>
          <w:b/>
          <w:color w:val="auto"/>
          <w:sz w:val="72"/>
          <w:highlight w:val="none"/>
        </w:rPr>
        <w:t>件</w:t>
      </w:r>
      <w:bookmarkEnd w:id="50"/>
    </w:p>
    <w:p w14:paraId="7C5BE7EA">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7F796F65">
      <w:pPr>
        <w:spacing w:after="156" w:afterLines="50" w:line="500" w:lineRule="exact"/>
        <w:jc w:val="center"/>
        <w:rPr>
          <w:rFonts w:ascii="宋体" w:hAnsi="宋体" w:eastAsia="宋体"/>
          <w:b/>
          <w:color w:val="auto"/>
          <w:sz w:val="28"/>
          <w:szCs w:val="28"/>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1" w:name="_Toc9994"/>
      <w:bookmarkStart w:id="52"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1"/>
      <w:bookmarkEnd w:id="52"/>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5D88E626">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（2）供应商须具有有效的营业执照、税务登记证、组织机构代码证（或三证合一的证书）；</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8824151">
      <w:pPr>
        <w:spacing w:line="360" w:lineRule="auto"/>
        <w:ind w:firstLine="435"/>
        <w:rPr>
          <w:rFonts w:hint="eastAsia" w:ascii="宋体" w:hAnsi="宋体" w:eastAsia="宋体" w:cs="宋体"/>
          <w:color w:val="auto"/>
          <w:sz w:val="24"/>
          <w:highlight w:val="none"/>
          <w:lang w:val="en-US" w:eastAsia="zh-CN"/>
        </w:rPr>
      </w:pPr>
    </w:p>
    <w:p w14:paraId="6EE2676A">
      <w:pPr>
        <w:spacing w:line="360" w:lineRule="auto"/>
        <w:ind w:firstLine="435"/>
        <w:rPr>
          <w:rFonts w:hint="eastAsia" w:ascii="宋体" w:hAnsi="宋体" w:eastAsia="宋体" w:cs="宋体"/>
          <w:color w:val="auto"/>
          <w:sz w:val="24"/>
          <w:highlight w:val="none"/>
          <w:lang w:val="en-US" w:eastAsia="zh-CN"/>
        </w:rPr>
      </w:pPr>
    </w:p>
    <w:p w14:paraId="3FB93790">
      <w:pPr>
        <w:pStyle w:val="3"/>
        <w:rPr>
          <w:rFonts w:hint="eastAsia" w:ascii="宋体" w:hAnsi="宋体" w:eastAsia="宋体" w:cs="宋体"/>
          <w:color w:val="auto"/>
          <w:sz w:val="24"/>
          <w:highlight w:val="none"/>
          <w:lang w:val="en-US" w:eastAsia="zh-CN"/>
        </w:rPr>
      </w:pPr>
    </w:p>
    <w:p w14:paraId="50B56C2F">
      <w:pPr>
        <w:rPr>
          <w:rFonts w:hint="eastAsia"/>
          <w:highlight w:val="none"/>
          <w:lang w:val="en-US" w:eastAsia="zh-CN"/>
        </w:rPr>
      </w:pPr>
    </w:p>
    <w:p w14:paraId="3F1DCF5A">
      <w:pPr>
        <w:spacing w:line="360" w:lineRule="auto"/>
        <w:ind w:firstLine="435"/>
        <w:rPr>
          <w:rFonts w:hint="eastAsia" w:ascii="宋体" w:hAnsi="宋体" w:eastAsia="宋体" w:cs="宋体"/>
          <w:color w:val="auto"/>
          <w:sz w:val="24"/>
          <w:highlight w:val="none"/>
          <w:lang w:val="en-US" w:eastAsia="zh-CN"/>
        </w:rPr>
      </w:pPr>
    </w:p>
    <w:p w14:paraId="000D6AD2">
      <w:pPr>
        <w:spacing w:line="360" w:lineRule="auto"/>
        <w:ind w:firstLine="435"/>
        <w:rPr>
          <w:rFonts w:hint="eastAsia" w:ascii="宋体" w:hAnsi="宋体" w:eastAsia="宋体" w:cs="宋体"/>
          <w:color w:val="auto"/>
          <w:sz w:val="24"/>
          <w:highlight w:val="none"/>
          <w:lang w:val="en-US" w:eastAsia="zh-CN"/>
        </w:rPr>
      </w:pPr>
    </w:p>
    <w:p w14:paraId="441E0381">
      <w:pPr>
        <w:spacing w:line="360" w:lineRule="auto"/>
        <w:ind w:firstLine="435"/>
        <w:rPr>
          <w:rFonts w:hint="eastAsia" w:ascii="宋体" w:hAnsi="宋体" w:eastAsia="宋体" w:cs="宋体"/>
          <w:color w:val="auto"/>
          <w:sz w:val="24"/>
          <w:highlight w:val="none"/>
          <w:lang w:val="en-US" w:eastAsia="zh-CN"/>
        </w:rPr>
      </w:pPr>
    </w:p>
    <w:p w14:paraId="3DC4AE93">
      <w:pPr>
        <w:spacing w:line="360" w:lineRule="auto"/>
        <w:jc w:val="center"/>
        <w:outlineLvl w:val="1"/>
        <w:rPr>
          <w:rFonts w:hint="eastAsia" w:ascii="宋体" w:hAnsi="宋体" w:eastAsia="宋体"/>
          <w:b/>
          <w:color w:val="auto"/>
          <w:sz w:val="24"/>
          <w:highlight w:val="none"/>
        </w:rPr>
      </w:pPr>
      <w:bookmarkStart w:id="53" w:name="_Toc1328"/>
      <w:r>
        <w:rPr>
          <w:rFonts w:hint="eastAsia" w:ascii="宋体" w:hAnsi="宋体" w:eastAsia="宋体"/>
          <w:b/>
          <w:color w:val="auto"/>
          <w:sz w:val="24"/>
          <w:highlight w:val="none"/>
          <w:lang w:val="en-US" w:eastAsia="zh-CN"/>
        </w:rPr>
        <w:t>一．投标人资格声明书</w:t>
      </w:r>
      <w:bookmarkEnd w:id="53"/>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54"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55"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4"/>
      <w:bookmarkEnd w:id="55"/>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56" w:name="_Toc520299348"/>
      <w:bookmarkStart w:id="57" w:name="_Toc457768004"/>
      <w:bookmarkStart w:id="58" w:name="_Toc300210382"/>
      <w:bookmarkStart w:id="59" w:name="_Toc25813"/>
      <w:bookmarkStart w:id="60" w:name="_Toc26536"/>
      <w:bookmarkStart w:id="61" w:name="_Hlk11701496"/>
      <w:r>
        <w:rPr>
          <w:rFonts w:hint="eastAsia" w:ascii="宋体" w:hAnsi="宋体" w:eastAsia="宋体"/>
          <w:b/>
          <w:color w:val="auto"/>
          <w:sz w:val="24"/>
          <w:highlight w:val="none"/>
          <w:lang w:val="en-US" w:eastAsia="zh-CN"/>
        </w:rPr>
        <w:t>三、</w:t>
      </w:r>
      <w:bookmarkEnd w:id="56"/>
      <w:bookmarkEnd w:id="57"/>
      <w:bookmarkEnd w:id="58"/>
      <w:r>
        <w:rPr>
          <w:rFonts w:hint="eastAsia" w:ascii="宋体" w:hAnsi="宋体" w:eastAsia="宋体"/>
          <w:b/>
          <w:color w:val="auto"/>
          <w:sz w:val="24"/>
          <w:highlight w:val="none"/>
          <w:lang w:val="en-US" w:eastAsia="zh-CN"/>
        </w:rPr>
        <w:t>诚信履约承诺函</w:t>
      </w:r>
      <w:bookmarkEnd w:id="59"/>
      <w:bookmarkEnd w:id="60"/>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61"/>
    <w:p w14:paraId="28EA2FD8">
      <w:pPr>
        <w:spacing w:line="360" w:lineRule="auto"/>
        <w:jc w:val="center"/>
        <w:outlineLvl w:val="0"/>
        <w:rPr>
          <w:rFonts w:hint="eastAsia" w:ascii="宋体" w:hAnsi="宋体" w:eastAsia="宋体"/>
          <w:b/>
          <w:color w:val="auto"/>
          <w:sz w:val="28"/>
          <w:highlight w:val="none"/>
        </w:rPr>
      </w:pPr>
      <w:bookmarkStart w:id="62" w:name="_Toc6435"/>
      <w:bookmarkStart w:id="63" w:name="_Toc18131"/>
    </w:p>
    <w:p w14:paraId="53B0DC61">
      <w:pPr>
        <w:spacing w:line="360" w:lineRule="auto"/>
        <w:jc w:val="center"/>
        <w:outlineLvl w:val="0"/>
        <w:rPr>
          <w:rFonts w:hint="eastAsia" w:ascii="宋体" w:hAnsi="宋体" w:eastAsia="宋体"/>
          <w:b/>
          <w:color w:val="auto"/>
          <w:sz w:val="28"/>
          <w:highlight w:val="none"/>
        </w:rPr>
      </w:pPr>
    </w:p>
    <w:p w14:paraId="51EC6F7C">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1F7792DA">
      <w:pPr>
        <w:spacing w:line="900" w:lineRule="exact"/>
        <w:jc w:val="center"/>
        <w:rPr>
          <w:rFonts w:ascii="宋体" w:hAnsi="宋体" w:eastAsia="宋体"/>
          <w:b/>
          <w:color w:val="auto"/>
          <w:sz w:val="72"/>
          <w:highlight w:val="none"/>
        </w:rPr>
      </w:pPr>
    </w:p>
    <w:p w14:paraId="2F4BDF7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53E84BA9">
      <w:pPr>
        <w:spacing w:line="900" w:lineRule="exact"/>
        <w:jc w:val="center"/>
        <w:rPr>
          <w:rFonts w:ascii="宋体" w:hAnsi="宋体" w:eastAsia="宋体"/>
          <w:b/>
          <w:color w:val="auto"/>
          <w:sz w:val="72"/>
          <w:highlight w:val="none"/>
        </w:rPr>
      </w:pPr>
    </w:p>
    <w:p w14:paraId="7172782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7C3289C1">
      <w:pPr>
        <w:spacing w:line="900" w:lineRule="exact"/>
        <w:jc w:val="center"/>
        <w:rPr>
          <w:rFonts w:ascii="宋体" w:hAnsi="宋体" w:eastAsia="宋体"/>
          <w:b/>
          <w:color w:val="auto"/>
          <w:sz w:val="72"/>
          <w:highlight w:val="none"/>
        </w:rPr>
      </w:pPr>
    </w:p>
    <w:p w14:paraId="0C9323B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45410A55">
      <w:pPr>
        <w:spacing w:line="900" w:lineRule="exact"/>
        <w:jc w:val="center"/>
        <w:rPr>
          <w:rFonts w:ascii="宋体" w:hAnsi="宋体" w:eastAsia="宋体"/>
          <w:b/>
          <w:color w:val="auto"/>
          <w:sz w:val="72"/>
          <w:highlight w:val="none"/>
        </w:rPr>
      </w:pPr>
    </w:p>
    <w:p w14:paraId="0E5C0288">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72A66CA3">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7F309541">
      <w:pPr>
        <w:spacing w:after="156" w:afterLines="50" w:line="500" w:lineRule="exact"/>
        <w:jc w:val="center"/>
        <w:rPr>
          <w:rFonts w:ascii="宋体" w:hAnsi="宋体" w:eastAsia="宋体"/>
          <w:b/>
          <w:color w:val="auto"/>
          <w:sz w:val="28"/>
          <w:szCs w:val="28"/>
          <w:highlight w:val="none"/>
        </w:rPr>
      </w:pPr>
    </w:p>
    <w:p w14:paraId="516283E6">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558D29E">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3423621">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85C0B01">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63893A9E">
      <w:pPr>
        <w:spacing w:line="360" w:lineRule="auto"/>
        <w:jc w:val="center"/>
        <w:outlineLvl w:val="0"/>
        <w:rPr>
          <w:rFonts w:hint="eastAsia" w:ascii="宋体" w:hAnsi="宋体" w:eastAsia="宋体"/>
          <w:b/>
          <w:color w:val="auto"/>
          <w:sz w:val="28"/>
          <w:highlight w:val="none"/>
        </w:rPr>
      </w:pPr>
    </w:p>
    <w:p w14:paraId="36CBA54B">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6523C5F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1.投标函（格式见附件）；</w:t>
      </w:r>
    </w:p>
    <w:p w14:paraId="495B2DD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2.投标分项报价表（格式见附件）；</w:t>
      </w:r>
    </w:p>
    <w:p w14:paraId="4E0AB72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3.招标文件商务评审中要求提供的其他相关资料；</w:t>
      </w:r>
    </w:p>
    <w:p w14:paraId="1A0263A6">
      <w:pPr>
        <w:spacing w:line="360" w:lineRule="auto"/>
        <w:ind w:firstLine="435"/>
        <w:rPr>
          <w:rFonts w:hint="default" w:ascii="宋体" w:hAnsi="宋体" w:eastAsia="宋体" w:cs="宋体"/>
          <w:color w:val="auto"/>
          <w:sz w:val="24"/>
          <w:highlight w:val="none"/>
          <w:lang w:val="en-US" w:eastAsia="zh-CN"/>
        </w:rPr>
      </w:pPr>
    </w:p>
    <w:p w14:paraId="0DE05CFA">
      <w:pPr>
        <w:spacing w:line="360" w:lineRule="auto"/>
        <w:jc w:val="center"/>
        <w:outlineLvl w:val="0"/>
        <w:rPr>
          <w:rFonts w:hint="eastAsia" w:ascii="宋体" w:hAnsi="宋体" w:eastAsia="宋体"/>
          <w:b/>
          <w:color w:val="auto"/>
          <w:sz w:val="28"/>
          <w:highlight w:val="none"/>
        </w:rPr>
      </w:pPr>
    </w:p>
    <w:p w14:paraId="5782085B">
      <w:pPr>
        <w:spacing w:line="360" w:lineRule="auto"/>
        <w:jc w:val="center"/>
        <w:outlineLvl w:val="0"/>
        <w:rPr>
          <w:rFonts w:hint="eastAsia" w:ascii="宋体" w:hAnsi="宋体" w:eastAsia="宋体"/>
          <w:b/>
          <w:color w:val="auto"/>
          <w:sz w:val="28"/>
          <w:highlight w:val="none"/>
        </w:rPr>
      </w:pPr>
    </w:p>
    <w:p w14:paraId="4E1E8186">
      <w:pPr>
        <w:spacing w:line="360" w:lineRule="auto"/>
        <w:jc w:val="center"/>
        <w:outlineLvl w:val="0"/>
        <w:rPr>
          <w:rFonts w:hint="eastAsia" w:ascii="宋体" w:hAnsi="宋体" w:eastAsia="宋体"/>
          <w:b/>
          <w:color w:val="auto"/>
          <w:sz w:val="28"/>
          <w:highlight w:val="none"/>
        </w:rPr>
      </w:pPr>
    </w:p>
    <w:p w14:paraId="4B9176F1">
      <w:pPr>
        <w:spacing w:line="360" w:lineRule="auto"/>
        <w:jc w:val="center"/>
        <w:outlineLvl w:val="0"/>
        <w:rPr>
          <w:rFonts w:hint="eastAsia" w:ascii="宋体" w:hAnsi="宋体" w:eastAsia="宋体"/>
          <w:b/>
          <w:color w:val="auto"/>
          <w:sz w:val="28"/>
          <w:highlight w:val="none"/>
        </w:rPr>
      </w:pPr>
    </w:p>
    <w:p w14:paraId="3E4FF541">
      <w:pPr>
        <w:spacing w:line="360" w:lineRule="auto"/>
        <w:jc w:val="center"/>
        <w:outlineLvl w:val="0"/>
        <w:rPr>
          <w:rFonts w:hint="eastAsia" w:ascii="宋体" w:hAnsi="宋体" w:eastAsia="宋体"/>
          <w:b/>
          <w:color w:val="auto"/>
          <w:sz w:val="28"/>
          <w:highlight w:val="none"/>
        </w:rPr>
      </w:pPr>
    </w:p>
    <w:p w14:paraId="5DFEB2FD">
      <w:pPr>
        <w:spacing w:line="360" w:lineRule="auto"/>
        <w:jc w:val="center"/>
        <w:outlineLvl w:val="0"/>
        <w:rPr>
          <w:rFonts w:hint="eastAsia" w:ascii="宋体" w:hAnsi="宋体" w:eastAsia="宋体"/>
          <w:b/>
          <w:color w:val="auto"/>
          <w:sz w:val="28"/>
          <w:highlight w:val="none"/>
        </w:rPr>
      </w:pPr>
    </w:p>
    <w:p w14:paraId="42185861">
      <w:pPr>
        <w:spacing w:line="360" w:lineRule="auto"/>
        <w:jc w:val="center"/>
        <w:outlineLvl w:val="0"/>
        <w:rPr>
          <w:rFonts w:hint="eastAsia" w:ascii="宋体" w:hAnsi="宋体" w:eastAsia="宋体"/>
          <w:b/>
          <w:color w:val="auto"/>
          <w:sz w:val="28"/>
          <w:highlight w:val="none"/>
        </w:rPr>
      </w:pPr>
    </w:p>
    <w:p w14:paraId="26FA325C">
      <w:pPr>
        <w:spacing w:line="360" w:lineRule="auto"/>
        <w:jc w:val="center"/>
        <w:outlineLvl w:val="0"/>
        <w:rPr>
          <w:rFonts w:hint="eastAsia" w:ascii="宋体" w:hAnsi="宋体" w:eastAsia="宋体"/>
          <w:b/>
          <w:color w:val="auto"/>
          <w:sz w:val="28"/>
          <w:highlight w:val="none"/>
        </w:rPr>
      </w:pPr>
    </w:p>
    <w:p w14:paraId="1315019E">
      <w:pPr>
        <w:spacing w:line="360" w:lineRule="auto"/>
        <w:jc w:val="center"/>
        <w:outlineLvl w:val="0"/>
        <w:rPr>
          <w:rFonts w:hint="eastAsia" w:ascii="宋体" w:hAnsi="宋体" w:eastAsia="宋体"/>
          <w:b/>
          <w:color w:val="auto"/>
          <w:sz w:val="28"/>
          <w:highlight w:val="none"/>
        </w:rPr>
      </w:pPr>
    </w:p>
    <w:p w14:paraId="20403837">
      <w:pPr>
        <w:spacing w:line="360" w:lineRule="auto"/>
        <w:jc w:val="center"/>
        <w:outlineLvl w:val="0"/>
        <w:rPr>
          <w:rFonts w:hint="eastAsia" w:ascii="宋体" w:hAnsi="宋体" w:eastAsia="宋体"/>
          <w:b/>
          <w:color w:val="auto"/>
          <w:sz w:val="28"/>
          <w:highlight w:val="none"/>
        </w:rPr>
      </w:pPr>
    </w:p>
    <w:p w14:paraId="0520C5FA">
      <w:pPr>
        <w:spacing w:line="360" w:lineRule="auto"/>
        <w:jc w:val="center"/>
        <w:outlineLvl w:val="0"/>
        <w:rPr>
          <w:rFonts w:hint="eastAsia" w:ascii="宋体" w:hAnsi="宋体" w:eastAsia="宋体"/>
          <w:b/>
          <w:color w:val="auto"/>
          <w:sz w:val="28"/>
          <w:highlight w:val="none"/>
        </w:rPr>
      </w:pPr>
    </w:p>
    <w:p w14:paraId="36D6804C">
      <w:pPr>
        <w:spacing w:line="360" w:lineRule="auto"/>
        <w:jc w:val="center"/>
        <w:outlineLvl w:val="0"/>
        <w:rPr>
          <w:rFonts w:hint="eastAsia" w:ascii="宋体" w:hAnsi="宋体" w:eastAsia="宋体"/>
          <w:b/>
          <w:color w:val="auto"/>
          <w:sz w:val="28"/>
          <w:highlight w:val="none"/>
        </w:rPr>
      </w:pPr>
    </w:p>
    <w:p w14:paraId="355B68DE">
      <w:pPr>
        <w:spacing w:line="360" w:lineRule="auto"/>
        <w:jc w:val="center"/>
        <w:outlineLvl w:val="0"/>
        <w:rPr>
          <w:rFonts w:hint="eastAsia" w:ascii="宋体" w:hAnsi="宋体" w:eastAsia="宋体"/>
          <w:b/>
          <w:color w:val="auto"/>
          <w:sz w:val="28"/>
          <w:highlight w:val="none"/>
        </w:rPr>
      </w:pPr>
    </w:p>
    <w:p w14:paraId="6083BE45">
      <w:pPr>
        <w:spacing w:line="360" w:lineRule="auto"/>
        <w:jc w:val="center"/>
        <w:outlineLvl w:val="0"/>
        <w:rPr>
          <w:rFonts w:hint="eastAsia" w:ascii="宋体" w:hAnsi="宋体" w:eastAsia="宋体"/>
          <w:b/>
          <w:color w:val="auto"/>
          <w:sz w:val="28"/>
          <w:highlight w:val="none"/>
        </w:rPr>
      </w:pPr>
    </w:p>
    <w:p w14:paraId="47C2F63F">
      <w:pPr>
        <w:spacing w:line="360" w:lineRule="auto"/>
        <w:jc w:val="center"/>
        <w:outlineLvl w:val="0"/>
        <w:rPr>
          <w:rFonts w:hint="eastAsia" w:ascii="宋体" w:hAnsi="宋体" w:eastAsia="宋体"/>
          <w:b/>
          <w:color w:val="auto"/>
          <w:sz w:val="28"/>
          <w:highlight w:val="none"/>
        </w:rPr>
      </w:pPr>
    </w:p>
    <w:p w14:paraId="1C087FBE">
      <w:pPr>
        <w:spacing w:line="360" w:lineRule="auto"/>
        <w:jc w:val="center"/>
        <w:outlineLvl w:val="0"/>
        <w:rPr>
          <w:rFonts w:hint="eastAsia" w:ascii="宋体" w:hAnsi="宋体" w:eastAsia="宋体"/>
          <w:b/>
          <w:color w:val="auto"/>
          <w:sz w:val="28"/>
          <w:highlight w:val="none"/>
        </w:rPr>
      </w:pPr>
    </w:p>
    <w:p w14:paraId="5FBCD799">
      <w:pPr>
        <w:spacing w:line="360" w:lineRule="auto"/>
        <w:jc w:val="center"/>
        <w:outlineLvl w:val="0"/>
        <w:rPr>
          <w:rFonts w:hint="eastAsia" w:ascii="宋体" w:hAnsi="宋体" w:eastAsia="宋体"/>
          <w:b/>
          <w:color w:val="auto"/>
          <w:sz w:val="28"/>
          <w:highlight w:val="none"/>
        </w:rPr>
      </w:pPr>
    </w:p>
    <w:p w14:paraId="6D899750">
      <w:pPr>
        <w:spacing w:line="360" w:lineRule="auto"/>
        <w:jc w:val="center"/>
        <w:outlineLvl w:val="0"/>
        <w:rPr>
          <w:rFonts w:hint="eastAsia" w:ascii="宋体" w:hAnsi="宋体" w:eastAsia="宋体"/>
          <w:b/>
          <w:color w:val="auto"/>
          <w:sz w:val="28"/>
          <w:highlight w:val="none"/>
        </w:rPr>
      </w:pPr>
    </w:p>
    <w:p w14:paraId="772A84AD">
      <w:pPr>
        <w:spacing w:line="360" w:lineRule="auto"/>
        <w:jc w:val="center"/>
        <w:outlineLvl w:val="0"/>
        <w:rPr>
          <w:rFonts w:hint="eastAsia" w:ascii="宋体" w:hAnsi="宋体" w:eastAsia="宋体"/>
          <w:b/>
          <w:color w:val="auto"/>
          <w:sz w:val="28"/>
          <w:highlight w:val="none"/>
        </w:rPr>
      </w:pP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64" w:name="_Toc6441"/>
      <w:bookmarkStart w:id="65" w:name="_Toc18010"/>
      <w:r>
        <w:rPr>
          <w:rFonts w:hint="eastAsia" w:ascii="宋体" w:hAnsi="宋体" w:eastAsia="宋体"/>
          <w:b/>
          <w:color w:val="auto"/>
          <w:sz w:val="24"/>
          <w:highlight w:val="none"/>
          <w:lang w:val="en-US" w:eastAsia="zh-CN"/>
        </w:rPr>
        <w:t>一</w:t>
      </w:r>
      <w:r>
        <w:rPr>
          <w:rFonts w:hint="eastAsia" w:ascii="宋体" w:hAnsi="宋体" w:eastAsia="宋体"/>
          <w:b/>
          <w:color w:val="auto"/>
          <w:sz w:val="24"/>
          <w:highlight w:val="none"/>
        </w:rPr>
        <w:t>、投标函</w:t>
      </w:r>
      <w:bookmarkEnd w:id="64"/>
      <w:bookmarkEnd w:id="65"/>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7DDD1FC1">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66" w:name="_Toc6796"/>
      <w:bookmarkStart w:id="67" w:name="_Toc31991"/>
    </w:p>
    <w:p w14:paraId="3C73A698">
      <w:pPr>
        <w:pStyle w:val="3"/>
        <w:rPr>
          <w:rFonts w:hint="eastAsia"/>
          <w:highlight w:val="none"/>
        </w:rPr>
      </w:pPr>
    </w:p>
    <w:p w14:paraId="2484B04A">
      <w:pPr>
        <w:spacing w:line="360" w:lineRule="auto"/>
        <w:jc w:val="center"/>
        <w:outlineLvl w:val="1"/>
        <w:rPr>
          <w:rFonts w:hint="eastAsia" w:ascii="宋体" w:hAnsi="宋体" w:eastAsia="宋体"/>
          <w:b/>
          <w:color w:val="auto"/>
          <w:sz w:val="24"/>
          <w:highlight w:val="none"/>
        </w:rPr>
      </w:pPr>
    </w:p>
    <w:p w14:paraId="601BEA56">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66"/>
      <w:bookmarkEnd w:id="67"/>
    </w:p>
    <w:p w14:paraId="436D1BA1">
      <w:pPr>
        <w:spacing w:line="360" w:lineRule="auto"/>
        <w:ind w:firstLine="435"/>
        <w:rPr>
          <w:rFonts w:ascii="宋体" w:hAnsi="宋体" w:eastAsia="宋体"/>
          <w:b/>
          <w:color w:val="auto"/>
          <w:sz w:val="24"/>
          <w:highlight w:val="none"/>
        </w:rPr>
      </w:pPr>
    </w:p>
    <w:p w14:paraId="34BE8DF3">
      <w:pPr>
        <w:spacing w:line="560" w:lineRule="exact"/>
        <w:rPr>
          <w:rFonts w:hint="eastAsia" w:ascii="仿宋_GB2312" w:eastAsia="仿宋_GB2312"/>
          <w:sz w:val="32"/>
          <w:szCs w:val="32"/>
          <w:highlight w:val="none"/>
        </w:rPr>
      </w:pPr>
    </w:p>
    <w:p w14:paraId="02679444">
      <w:pPr>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法律顾问费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1417"/>
      </w:tblGrid>
      <w:tr w14:paraId="473E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203C325">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417" w:type="dxa"/>
          </w:tcPr>
          <w:p w14:paraId="25624D5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r>
      <w:tr w14:paraId="000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EE5587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法律顾问费（最高限价5万元）</w:t>
            </w:r>
          </w:p>
        </w:tc>
        <w:tc>
          <w:tcPr>
            <w:tcW w:w="1417" w:type="dxa"/>
          </w:tcPr>
          <w:p w14:paraId="4F80173D">
            <w:pPr>
              <w:spacing w:line="560" w:lineRule="exact"/>
              <w:rPr>
                <w:rFonts w:hint="eastAsia" w:ascii="宋体" w:hAnsi="宋体" w:eastAsia="宋体" w:cs="宋体"/>
                <w:sz w:val="24"/>
                <w:szCs w:val="24"/>
                <w:highlight w:val="none"/>
              </w:rPr>
            </w:pPr>
          </w:p>
        </w:tc>
      </w:tr>
    </w:tbl>
    <w:p w14:paraId="704FD74E">
      <w:pPr>
        <w:spacing w:line="560" w:lineRule="exact"/>
        <w:rPr>
          <w:rFonts w:hint="eastAsia" w:ascii="宋体" w:hAnsi="宋体" w:eastAsia="宋体" w:cs="宋体"/>
          <w:sz w:val="24"/>
          <w:szCs w:val="24"/>
          <w:highlight w:val="none"/>
        </w:rPr>
      </w:pPr>
    </w:p>
    <w:p w14:paraId="0B631E6D">
      <w:pPr>
        <w:spacing w:line="56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医疗损害责任纠纷案件诉讼代理费：1.一、二审阶段</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2.再审阶段</w:t>
      </w:r>
      <w:r>
        <w:rPr>
          <w:rFonts w:hint="eastAsia" w:ascii="宋体" w:hAnsi="宋体" w:eastAsia="宋体" w:cs="宋体"/>
          <w:b/>
          <w:bCs/>
          <w:sz w:val="24"/>
          <w:szCs w:val="24"/>
          <w:highlight w:val="none"/>
          <w:lang w:eastAsia="zh-CN"/>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1417"/>
      </w:tblGrid>
      <w:tr w14:paraId="363C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74C8345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417" w:type="dxa"/>
          </w:tcPr>
          <w:p w14:paraId="3F8D993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r>
      <w:tr w14:paraId="0041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54D35D1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一、二审阶段合计诉讼代理费（最高限价8千元）</w:t>
            </w:r>
          </w:p>
        </w:tc>
        <w:tc>
          <w:tcPr>
            <w:tcW w:w="1417" w:type="dxa"/>
          </w:tcPr>
          <w:p w14:paraId="4BA7D277">
            <w:pPr>
              <w:spacing w:line="560" w:lineRule="exact"/>
              <w:rPr>
                <w:rFonts w:hint="eastAsia" w:ascii="宋体" w:hAnsi="宋体" w:eastAsia="宋体" w:cs="宋体"/>
                <w:sz w:val="24"/>
                <w:szCs w:val="24"/>
                <w:highlight w:val="none"/>
              </w:rPr>
            </w:pPr>
          </w:p>
        </w:tc>
      </w:tr>
      <w:tr w14:paraId="3ED9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6FAD87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再审阶段折扣率（%，再审阶段诉讼代理费=一、二审阶段合计诉讼代理费*折扣率）</w:t>
            </w:r>
          </w:p>
        </w:tc>
        <w:tc>
          <w:tcPr>
            <w:tcW w:w="1417" w:type="dxa"/>
          </w:tcPr>
          <w:p w14:paraId="20502CF2">
            <w:pPr>
              <w:spacing w:line="560" w:lineRule="exact"/>
              <w:rPr>
                <w:rFonts w:hint="eastAsia" w:ascii="宋体" w:hAnsi="宋体" w:eastAsia="宋体" w:cs="宋体"/>
                <w:sz w:val="24"/>
                <w:szCs w:val="24"/>
                <w:highlight w:val="none"/>
              </w:rPr>
            </w:pPr>
          </w:p>
        </w:tc>
      </w:tr>
    </w:tbl>
    <w:p w14:paraId="26155FBC">
      <w:pPr>
        <w:spacing w:line="560" w:lineRule="exact"/>
        <w:rPr>
          <w:rFonts w:hint="eastAsia" w:ascii="宋体" w:hAnsi="宋体" w:eastAsia="宋体" w:cs="宋体"/>
          <w:sz w:val="24"/>
          <w:szCs w:val="24"/>
          <w:highlight w:val="none"/>
        </w:rPr>
      </w:pPr>
    </w:p>
    <w:p w14:paraId="1AD29947">
      <w:pPr>
        <w:spacing w:line="56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医疗损害责任纠纷之外民事案件诉讼代理费：1.基础代理费</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2.折扣率</w:t>
      </w:r>
      <w:r>
        <w:rPr>
          <w:rFonts w:hint="eastAsia" w:ascii="宋体" w:hAnsi="宋体" w:eastAsia="宋体" w:cs="宋体"/>
          <w:b/>
          <w:bCs/>
          <w:sz w:val="24"/>
          <w:szCs w:val="24"/>
          <w:highlight w:val="none"/>
          <w:lang w:eastAsia="zh-CN"/>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1417"/>
      </w:tblGrid>
      <w:tr w14:paraId="7C1E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5A9CDE9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417" w:type="dxa"/>
          </w:tcPr>
          <w:p w14:paraId="4F153854">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r>
      <w:tr w14:paraId="08F1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213529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基础代理费（最高限价5千元）</w:t>
            </w:r>
          </w:p>
        </w:tc>
        <w:tc>
          <w:tcPr>
            <w:tcW w:w="1417" w:type="dxa"/>
          </w:tcPr>
          <w:p w14:paraId="7A5423DF">
            <w:pPr>
              <w:spacing w:line="560" w:lineRule="exact"/>
              <w:rPr>
                <w:rFonts w:hint="eastAsia" w:ascii="宋体" w:hAnsi="宋体" w:eastAsia="宋体" w:cs="宋体"/>
                <w:sz w:val="24"/>
                <w:szCs w:val="24"/>
                <w:highlight w:val="none"/>
              </w:rPr>
            </w:pPr>
          </w:p>
        </w:tc>
      </w:tr>
      <w:tr w14:paraId="07D1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569A17EB">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折扣率（%）</w:t>
            </w:r>
          </w:p>
        </w:tc>
        <w:tc>
          <w:tcPr>
            <w:tcW w:w="1417" w:type="dxa"/>
          </w:tcPr>
          <w:p w14:paraId="7094641D">
            <w:pPr>
              <w:spacing w:line="560" w:lineRule="exact"/>
              <w:rPr>
                <w:rFonts w:hint="eastAsia" w:ascii="宋体" w:hAnsi="宋体" w:eastAsia="宋体" w:cs="宋体"/>
                <w:sz w:val="24"/>
                <w:szCs w:val="24"/>
                <w:highlight w:val="none"/>
              </w:rPr>
            </w:pPr>
          </w:p>
        </w:tc>
      </w:tr>
    </w:tbl>
    <w:p w14:paraId="2DF63D5D">
      <w:pPr>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36"/>
        <w:gridCol w:w="1559"/>
        <w:gridCol w:w="1417"/>
      </w:tblGrid>
      <w:tr w14:paraId="560C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3AF14C64">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医疗损害责任纠纷之外民事案件诉讼代理费</w:t>
            </w:r>
          </w:p>
        </w:tc>
      </w:tr>
      <w:tr w14:paraId="734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2DA3B68">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分段</w:t>
            </w:r>
          </w:p>
        </w:tc>
        <w:tc>
          <w:tcPr>
            <w:tcW w:w="4536" w:type="dxa"/>
          </w:tcPr>
          <w:p w14:paraId="7925C2D2">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争议标的</w:t>
            </w:r>
          </w:p>
        </w:tc>
        <w:tc>
          <w:tcPr>
            <w:tcW w:w="1559" w:type="dxa"/>
          </w:tcPr>
          <w:p w14:paraId="38AFDB6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院定费率</w:t>
            </w:r>
          </w:p>
        </w:tc>
        <w:tc>
          <w:tcPr>
            <w:tcW w:w="1417" w:type="dxa"/>
          </w:tcPr>
          <w:p w14:paraId="4D81455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折扣率</w:t>
            </w:r>
          </w:p>
        </w:tc>
      </w:tr>
      <w:tr w14:paraId="437C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3B8ED7F">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一段</w:t>
            </w:r>
          </w:p>
        </w:tc>
        <w:tc>
          <w:tcPr>
            <w:tcW w:w="4536" w:type="dxa"/>
          </w:tcPr>
          <w:p w14:paraId="587BF0D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10万元（不含）-50万元（含）</w:t>
            </w:r>
          </w:p>
        </w:tc>
        <w:tc>
          <w:tcPr>
            <w:tcW w:w="1559" w:type="dxa"/>
          </w:tcPr>
          <w:p w14:paraId="25D40BF4">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7" w:type="dxa"/>
            <w:vMerge w:val="restart"/>
            <w:vAlign w:val="center"/>
          </w:tcPr>
          <w:p w14:paraId="52DB55EC">
            <w:pPr>
              <w:spacing w:line="560" w:lineRule="exact"/>
              <w:rPr>
                <w:rFonts w:hint="eastAsia" w:ascii="宋体" w:hAnsi="宋体" w:eastAsia="宋体" w:cs="宋体"/>
                <w:sz w:val="24"/>
                <w:szCs w:val="24"/>
                <w:highlight w:val="none"/>
              </w:rPr>
            </w:pPr>
          </w:p>
        </w:tc>
      </w:tr>
      <w:tr w14:paraId="5DB3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CF537FD">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二段</w:t>
            </w:r>
          </w:p>
        </w:tc>
        <w:tc>
          <w:tcPr>
            <w:tcW w:w="4536" w:type="dxa"/>
          </w:tcPr>
          <w:p w14:paraId="36719E15">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50万元（不含）-100万元（含）</w:t>
            </w:r>
          </w:p>
        </w:tc>
        <w:tc>
          <w:tcPr>
            <w:tcW w:w="1559" w:type="dxa"/>
          </w:tcPr>
          <w:p w14:paraId="3FCA55CF">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417" w:type="dxa"/>
            <w:vMerge w:val="continue"/>
          </w:tcPr>
          <w:p w14:paraId="504AB94B">
            <w:pPr>
              <w:spacing w:line="560" w:lineRule="exact"/>
              <w:rPr>
                <w:rFonts w:hint="eastAsia" w:ascii="宋体" w:hAnsi="宋体" w:eastAsia="宋体" w:cs="宋体"/>
                <w:sz w:val="24"/>
                <w:szCs w:val="24"/>
                <w:highlight w:val="none"/>
              </w:rPr>
            </w:pPr>
          </w:p>
        </w:tc>
      </w:tr>
      <w:tr w14:paraId="370E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5017C91">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三段</w:t>
            </w:r>
          </w:p>
        </w:tc>
        <w:tc>
          <w:tcPr>
            <w:tcW w:w="4536" w:type="dxa"/>
          </w:tcPr>
          <w:p w14:paraId="6514998B">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100万元（不含）-500万元（含）</w:t>
            </w:r>
          </w:p>
        </w:tc>
        <w:tc>
          <w:tcPr>
            <w:tcW w:w="1559" w:type="dxa"/>
          </w:tcPr>
          <w:p w14:paraId="625365A7">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17" w:type="dxa"/>
            <w:vMerge w:val="continue"/>
          </w:tcPr>
          <w:p w14:paraId="346F90AF">
            <w:pPr>
              <w:spacing w:line="560" w:lineRule="exact"/>
              <w:rPr>
                <w:rFonts w:hint="eastAsia" w:ascii="宋体" w:hAnsi="宋体" w:eastAsia="宋体" w:cs="宋体"/>
                <w:sz w:val="24"/>
                <w:szCs w:val="24"/>
                <w:highlight w:val="none"/>
              </w:rPr>
            </w:pPr>
          </w:p>
        </w:tc>
      </w:tr>
      <w:tr w14:paraId="5797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CD2392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四段</w:t>
            </w:r>
          </w:p>
        </w:tc>
        <w:tc>
          <w:tcPr>
            <w:tcW w:w="4536" w:type="dxa"/>
          </w:tcPr>
          <w:p w14:paraId="67E730E8">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500万元</w:t>
            </w:r>
            <w:bookmarkStart w:id="68" w:name="OLE_LINK10"/>
            <w:r>
              <w:rPr>
                <w:rFonts w:hint="eastAsia" w:ascii="宋体" w:hAnsi="宋体" w:eastAsia="宋体" w:cs="宋体"/>
                <w:sz w:val="24"/>
                <w:szCs w:val="24"/>
                <w:highlight w:val="none"/>
              </w:rPr>
              <w:t>（不含）</w:t>
            </w:r>
            <w:bookmarkEnd w:id="68"/>
            <w:r>
              <w:rPr>
                <w:rFonts w:hint="eastAsia" w:ascii="宋体" w:hAnsi="宋体" w:eastAsia="宋体" w:cs="宋体"/>
                <w:sz w:val="24"/>
                <w:szCs w:val="24"/>
                <w:highlight w:val="none"/>
              </w:rPr>
              <w:t>-1000万元（含）</w:t>
            </w:r>
          </w:p>
        </w:tc>
        <w:tc>
          <w:tcPr>
            <w:tcW w:w="1559" w:type="dxa"/>
          </w:tcPr>
          <w:p w14:paraId="2B4C26C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c>
          <w:tcPr>
            <w:tcW w:w="1417" w:type="dxa"/>
            <w:vMerge w:val="continue"/>
          </w:tcPr>
          <w:p w14:paraId="23784263">
            <w:pPr>
              <w:spacing w:line="560" w:lineRule="exact"/>
              <w:rPr>
                <w:rFonts w:hint="eastAsia" w:ascii="宋体" w:hAnsi="宋体" w:eastAsia="宋体" w:cs="宋体"/>
                <w:sz w:val="24"/>
                <w:szCs w:val="24"/>
                <w:highlight w:val="none"/>
              </w:rPr>
            </w:pPr>
          </w:p>
        </w:tc>
      </w:tr>
      <w:tr w14:paraId="5D2E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E51CCE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五段</w:t>
            </w:r>
          </w:p>
        </w:tc>
        <w:tc>
          <w:tcPr>
            <w:tcW w:w="4536" w:type="dxa"/>
          </w:tcPr>
          <w:p w14:paraId="532F1768">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1000万元（不含）以上</w:t>
            </w:r>
          </w:p>
        </w:tc>
        <w:tc>
          <w:tcPr>
            <w:tcW w:w="1559" w:type="dxa"/>
          </w:tcPr>
          <w:p w14:paraId="50A1C7E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0.4%</w:t>
            </w:r>
          </w:p>
        </w:tc>
        <w:tc>
          <w:tcPr>
            <w:tcW w:w="1417" w:type="dxa"/>
            <w:vMerge w:val="continue"/>
          </w:tcPr>
          <w:p w14:paraId="697F8C16">
            <w:pPr>
              <w:spacing w:line="560" w:lineRule="exact"/>
              <w:rPr>
                <w:rFonts w:hint="eastAsia" w:ascii="宋体" w:hAnsi="宋体" w:eastAsia="宋体" w:cs="宋体"/>
                <w:sz w:val="24"/>
                <w:szCs w:val="24"/>
                <w:highlight w:val="none"/>
              </w:rPr>
            </w:pPr>
          </w:p>
        </w:tc>
      </w:tr>
      <w:tr w14:paraId="1D08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3E7E7FF9">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1.如争议标的为200万元，投标单位报价折扣率80%，</w:t>
            </w:r>
          </w:p>
          <w:p w14:paraId="248E0F30">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则最终收费为:基础代理费+（40万*2%+50万*1.5%+100万*1%)*80%=基本代理费+20400元）。</w:t>
            </w:r>
          </w:p>
          <w:p w14:paraId="76C71A3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2.单个案件最终收费不高于15万元，包括一审、二审,以及有可能产生的再审、发回重审、执行等程序，以最终结案的法律文书为准。</w:t>
            </w:r>
          </w:p>
          <w:p w14:paraId="29F0FC37">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3.根据案件实际情况,经采购人同意，律所可以安排常年法律顾问团队以外的具有专业知识的本所执业律师代理相关案件。</w:t>
            </w:r>
          </w:p>
        </w:tc>
      </w:tr>
    </w:tbl>
    <w:p w14:paraId="0A798B3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highlight w:val="none"/>
        </w:rPr>
      </w:pPr>
    </w:p>
    <w:p w14:paraId="60AD8082">
      <w:pPr>
        <w:keepNext w:val="0"/>
        <w:keepLines w:val="0"/>
        <w:pageBreakBefore w:val="0"/>
        <w:widowControl w:val="0"/>
        <w:kinsoku/>
        <w:wordWrap/>
        <w:overflowPunct/>
        <w:topLinePunct w:val="0"/>
        <w:autoSpaceDE/>
        <w:autoSpaceDN/>
        <w:bidi w:val="0"/>
        <w:adjustRightInd/>
        <w:snapToGrid/>
        <w:spacing w:line="500" w:lineRule="exact"/>
        <w:ind w:firstLine="5760" w:firstLineChars="2400"/>
        <w:jc w:val="left"/>
        <w:textAlignment w:val="auto"/>
        <w:rPr>
          <w:rFonts w:hint="eastAsia" w:ascii="宋体"/>
          <w:sz w:val="24"/>
          <w:highlight w:val="none"/>
        </w:rPr>
      </w:pPr>
      <w:r>
        <w:rPr>
          <w:rFonts w:hint="eastAsia" w:ascii="宋体"/>
          <w:sz w:val="24"/>
          <w:highlight w:val="none"/>
        </w:rPr>
        <w:t xml:space="preserve">                                              </w:t>
      </w:r>
    </w:p>
    <w:p w14:paraId="7186FF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0DFD36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3D6991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8BCAC20">
      <w:pPr>
        <w:spacing w:line="360" w:lineRule="auto"/>
        <w:jc w:val="center"/>
        <w:outlineLvl w:val="0"/>
        <w:rPr>
          <w:rFonts w:ascii="宋体" w:hAnsi="宋体" w:eastAsia="宋体"/>
          <w:b/>
          <w:bCs/>
          <w:color w:val="auto"/>
          <w:sz w:val="28"/>
          <w:highlight w:val="none"/>
        </w:rPr>
      </w:pPr>
      <w:r>
        <w:rPr>
          <w:rFonts w:hint="eastAsia" w:ascii="宋体" w:hAnsi="宋体" w:eastAsia="宋体"/>
          <w:b/>
          <w:color w:val="auto"/>
          <w:sz w:val="28"/>
          <w:highlight w:val="none"/>
        </w:rPr>
        <w:t>第</w:t>
      </w:r>
      <w:r>
        <w:rPr>
          <w:rFonts w:hint="eastAsia" w:ascii="宋体" w:hAnsi="宋体" w:eastAsia="宋体"/>
          <w:b/>
          <w:color w:val="auto"/>
          <w:sz w:val="28"/>
          <w:highlight w:val="none"/>
          <w:lang w:val="en-US" w:eastAsia="zh-CN"/>
        </w:rPr>
        <w:t>七</w:t>
      </w:r>
      <w:r>
        <w:rPr>
          <w:rFonts w:hint="eastAsia" w:ascii="宋体" w:hAnsi="宋体" w:eastAsia="宋体"/>
          <w:b/>
          <w:color w:val="auto"/>
          <w:sz w:val="28"/>
          <w:highlight w:val="none"/>
        </w:rPr>
        <w:t>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62"/>
      <w:bookmarkEnd w:id="63"/>
    </w:p>
    <w:p w14:paraId="71EF8227">
      <w:pPr>
        <w:spacing w:line="360" w:lineRule="auto"/>
        <w:jc w:val="center"/>
        <w:outlineLvl w:val="1"/>
        <w:rPr>
          <w:rFonts w:ascii="仿宋" w:hAnsi="仿宋" w:eastAsia="仿宋" w:cs="仿宋"/>
          <w:b/>
          <w:bCs/>
          <w:color w:val="auto"/>
          <w:sz w:val="32"/>
          <w:szCs w:val="44"/>
          <w:highlight w:val="none"/>
        </w:rPr>
      </w:pPr>
      <w:bookmarkStart w:id="69" w:name="_Toc27159"/>
      <w:bookmarkStart w:id="70" w:name="_Toc27489"/>
      <w:r>
        <w:rPr>
          <w:rFonts w:hint="eastAsia" w:ascii="仿宋" w:hAnsi="仿宋" w:eastAsia="仿宋" w:cs="仿宋"/>
          <w:b/>
          <w:bCs/>
          <w:color w:val="auto"/>
          <w:sz w:val="32"/>
          <w:szCs w:val="44"/>
          <w:highlight w:val="none"/>
        </w:rPr>
        <w:t>询问函范本</w:t>
      </w:r>
      <w:bookmarkEnd w:id="69"/>
      <w:bookmarkEnd w:id="70"/>
    </w:p>
    <w:p w14:paraId="4D574268">
      <w:pPr>
        <w:adjustRightInd w:val="0"/>
        <w:snapToGrid w:val="0"/>
        <w:spacing w:line="360" w:lineRule="auto"/>
        <w:rPr>
          <w:rFonts w:hint="eastAsia" w:ascii="宋体" w:hAnsi="宋体" w:eastAsia="宋体" w:cs="仿宋"/>
          <w:b/>
          <w:bCs/>
          <w:color w:val="auto"/>
          <w:sz w:val="24"/>
          <w:szCs w:val="24"/>
          <w:highlight w:val="none"/>
          <w:u w:val="single"/>
          <w:lang w:eastAsia="zh-CN"/>
        </w:rPr>
      </w:pPr>
      <w:r>
        <w:rPr>
          <w:rFonts w:hint="eastAsia" w:ascii="宋体" w:hAnsi="宋体" w:eastAsia="宋体" w:cs="仿宋"/>
          <w:b/>
          <w:bCs/>
          <w:color w:val="auto"/>
          <w:sz w:val="24"/>
          <w:szCs w:val="24"/>
          <w:highlight w:val="none"/>
          <w:lang w:val="en-US" w:eastAsia="zh-CN"/>
        </w:rPr>
        <w:t>致：</w:t>
      </w:r>
      <w:r>
        <w:rPr>
          <w:rFonts w:hint="eastAsia" w:ascii="宋体" w:hAnsi="宋体" w:eastAsia="宋体" w:cs="仿宋"/>
          <w:b/>
          <w:bCs/>
          <w:color w:val="auto"/>
          <w:sz w:val="24"/>
          <w:szCs w:val="24"/>
          <w:highlight w:val="none"/>
          <w:u w:val="none"/>
          <w:lang w:eastAsia="zh-CN"/>
        </w:rPr>
        <w:t>采购人</w:t>
      </w:r>
    </w:p>
    <w:p w14:paraId="036C15C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DAEA39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 w:name="_Toc13899"/>
      <w:r>
        <w:rPr>
          <w:rFonts w:hint="eastAsia" w:ascii="宋体" w:hAnsi="宋体" w:eastAsia="宋体" w:cs="仿宋"/>
          <w:color w:val="auto"/>
          <w:sz w:val="24"/>
          <w:szCs w:val="24"/>
          <w:highlight w:val="none"/>
        </w:rPr>
        <w:t>一、(事项一)</w:t>
      </w:r>
      <w:bookmarkEnd w:id="71"/>
    </w:p>
    <w:p w14:paraId="6881AA5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6A2E6C8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E2B797A">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67981975">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2" w:name="_Toc3352"/>
      <w:r>
        <w:rPr>
          <w:rFonts w:hint="eastAsia" w:ascii="宋体" w:hAnsi="宋体" w:eastAsia="宋体" w:cs="仿宋"/>
          <w:color w:val="auto"/>
          <w:sz w:val="24"/>
          <w:szCs w:val="24"/>
          <w:highlight w:val="none"/>
        </w:rPr>
        <w:t>二、(事项二)</w:t>
      </w:r>
      <w:bookmarkEnd w:id="72"/>
    </w:p>
    <w:p w14:paraId="3CA5CA5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5F4D51">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7ECDBD17">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233A7EE8">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42205D5D">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31A2EB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0C5AD557">
      <w:pPr>
        <w:jc w:val="center"/>
        <w:outlineLvl w:val="1"/>
        <w:rPr>
          <w:rFonts w:ascii="仿宋" w:hAnsi="仿宋" w:eastAsia="仿宋" w:cs="仿宋"/>
          <w:b/>
          <w:bCs/>
          <w:color w:val="auto"/>
          <w:sz w:val="32"/>
          <w:szCs w:val="44"/>
          <w:highlight w:val="none"/>
        </w:rPr>
      </w:pPr>
      <w:bookmarkStart w:id="73" w:name="_Toc3245"/>
      <w:bookmarkStart w:id="74" w:name="_Toc1575"/>
      <w:r>
        <w:rPr>
          <w:rFonts w:hint="eastAsia" w:ascii="仿宋" w:hAnsi="仿宋" w:eastAsia="仿宋" w:cs="仿宋"/>
          <w:b/>
          <w:bCs/>
          <w:color w:val="auto"/>
          <w:sz w:val="32"/>
          <w:szCs w:val="44"/>
          <w:highlight w:val="none"/>
        </w:rPr>
        <w:t>质疑函范本</w:t>
      </w:r>
      <w:bookmarkEnd w:id="73"/>
      <w:bookmarkEnd w:id="74"/>
    </w:p>
    <w:p w14:paraId="39BEB70F">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5" w:name="_Toc21381"/>
      <w:r>
        <w:rPr>
          <w:rFonts w:hint="eastAsia" w:ascii="宋体" w:hAnsi="宋体" w:eastAsia="宋体" w:cs="仿宋"/>
          <w:b/>
          <w:bCs/>
          <w:color w:val="auto"/>
          <w:sz w:val="24"/>
          <w:szCs w:val="24"/>
          <w:highlight w:val="none"/>
        </w:rPr>
        <w:t>一、质疑供应商基本信息</w:t>
      </w:r>
      <w:bookmarkEnd w:id="75"/>
    </w:p>
    <w:p w14:paraId="3906593B">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36F36E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95280B5">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2B4D7F0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1BE6D3E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073A355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81A0ED3">
      <w:pPr>
        <w:adjustRightInd w:val="0"/>
        <w:snapToGrid w:val="0"/>
        <w:spacing w:line="360" w:lineRule="auto"/>
        <w:outlineLvl w:val="9"/>
        <w:rPr>
          <w:rFonts w:ascii="宋体" w:hAnsi="宋体" w:eastAsia="宋体" w:cs="仿宋"/>
          <w:b/>
          <w:bCs/>
          <w:color w:val="auto"/>
          <w:sz w:val="24"/>
          <w:szCs w:val="24"/>
          <w:highlight w:val="none"/>
        </w:rPr>
      </w:pPr>
      <w:bookmarkStart w:id="76" w:name="_Toc28415"/>
      <w:r>
        <w:rPr>
          <w:rFonts w:hint="eastAsia" w:ascii="宋体" w:hAnsi="宋体" w:eastAsia="宋体" w:cs="仿宋"/>
          <w:b/>
          <w:bCs/>
          <w:color w:val="auto"/>
          <w:sz w:val="24"/>
          <w:szCs w:val="24"/>
          <w:highlight w:val="none"/>
        </w:rPr>
        <w:t>二、质疑项目基本情况</w:t>
      </w:r>
      <w:bookmarkEnd w:id="76"/>
    </w:p>
    <w:p w14:paraId="6DC9BF6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25F5DB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DF2A235">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3255E4B1">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60879F3">
      <w:pPr>
        <w:adjustRightInd w:val="0"/>
        <w:snapToGrid w:val="0"/>
        <w:spacing w:line="360" w:lineRule="auto"/>
        <w:outlineLvl w:val="9"/>
        <w:rPr>
          <w:rFonts w:ascii="宋体" w:hAnsi="宋体" w:eastAsia="宋体" w:cs="仿宋"/>
          <w:b/>
          <w:bCs/>
          <w:color w:val="auto"/>
          <w:sz w:val="24"/>
          <w:szCs w:val="24"/>
          <w:highlight w:val="none"/>
        </w:rPr>
      </w:pPr>
      <w:bookmarkStart w:id="77" w:name="_Toc19014"/>
      <w:r>
        <w:rPr>
          <w:rFonts w:hint="eastAsia" w:ascii="宋体" w:hAnsi="宋体" w:eastAsia="宋体" w:cs="仿宋"/>
          <w:b/>
          <w:bCs/>
          <w:color w:val="auto"/>
          <w:sz w:val="24"/>
          <w:szCs w:val="24"/>
          <w:highlight w:val="none"/>
        </w:rPr>
        <w:t>三、质疑事项具体内容</w:t>
      </w:r>
      <w:bookmarkEnd w:id="77"/>
    </w:p>
    <w:p w14:paraId="503920F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2E861A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0932D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AFF71F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143771FD">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1040DB02">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B3811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0F97527E">
      <w:pPr>
        <w:adjustRightInd w:val="0"/>
        <w:snapToGrid w:val="0"/>
        <w:spacing w:line="360" w:lineRule="auto"/>
        <w:outlineLvl w:val="9"/>
        <w:rPr>
          <w:rFonts w:ascii="宋体" w:hAnsi="宋体" w:eastAsia="宋体" w:cs="仿宋"/>
          <w:b/>
          <w:bCs/>
          <w:color w:val="auto"/>
          <w:sz w:val="24"/>
          <w:szCs w:val="24"/>
          <w:highlight w:val="none"/>
        </w:rPr>
      </w:pPr>
      <w:bookmarkStart w:id="78" w:name="_Toc17919"/>
      <w:r>
        <w:rPr>
          <w:rFonts w:hint="eastAsia" w:ascii="宋体" w:hAnsi="宋体" w:eastAsia="宋体" w:cs="仿宋"/>
          <w:b/>
          <w:bCs/>
          <w:color w:val="auto"/>
          <w:sz w:val="24"/>
          <w:szCs w:val="24"/>
          <w:highlight w:val="none"/>
        </w:rPr>
        <w:t>四、与质疑事项相关的质疑请求</w:t>
      </w:r>
      <w:bookmarkEnd w:id="78"/>
    </w:p>
    <w:p w14:paraId="56F9973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7F3031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3F9568F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1DC14B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3D85309">
      <w:pPr>
        <w:outlineLvl w:val="0"/>
        <w:rPr>
          <w:rFonts w:ascii="宋体" w:hAnsi="宋体" w:eastAsia="宋体"/>
          <w:b/>
          <w:color w:val="auto"/>
          <w:sz w:val="28"/>
          <w:szCs w:val="32"/>
          <w:highlight w:val="none"/>
        </w:rPr>
      </w:pPr>
      <w:bookmarkStart w:id="79" w:name="_Toc9754"/>
      <w:bookmarkStart w:id="80" w:name="_Toc26836"/>
      <w:r>
        <w:rPr>
          <w:rFonts w:hint="eastAsia" w:ascii="宋体" w:hAnsi="宋体" w:eastAsia="宋体"/>
          <w:b/>
          <w:color w:val="auto"/>
          <w:sz w:val="28"/>
          <w:szCs w:val="32"/>
          <w:highlight w:val="none"/>
        </w:rPr>
        <w:t>质疑函制作说明：</w:t>
      </w:r>
      <w:bookmarkEnd w:id="79"/>
      <w:bookmarkEnd w:id="80"/>
    </w:p>
    <w:p w14:paraId="038BAB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902FD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916B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760AD5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58AB32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6A7317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s>
  <w:rsids>
    <w:rsidRoot w:val="00000000"/>
    <w:rsid w:val="00135135"/>
    <w:rsid w:val="005C088A"/>
    <w:rsid w:val="01B3556A"/>
    <w:rsid w:val="01D803E5"/>
    <w:rsid w:val="01E25ABE"/>
    <w:rsid w:val="02ED1C6E"/>
    <w:rsid w:val="034D095E"/>
    <w:rsid w:val="03A82CAD"/>
    <w:rsid w:val="05231A81"/>
    <w:rsid w:val="05C313AC"/>
    <w:rsid w:val="09C84197"/>
    <w:rsid w:val="0A6749FB"/>
    <w:rsid w:val="0D091D9A"/>
    <w:rsid w:val="0D5A0848"/>
    <w:rsid w:val="0E6250D9"/>
    <w:rsid w:val="0E8E5325"/>
    <w:rsid w:val="0FF60A2B"/>
    <w:rsid w:val="10026281"/>
    <w:rsid w:val="10E50428"/>
    <w:rsid w:val="11863AA2"/>
    <w:rsid w:val="11B524F0"/>
    <w:rsid w:val="11DD06AB"/>
    <w:rsid w:val="12ED713D"/>
    <w:rsid w:val="136441CE"/>
    <w:rsid w:val="142E658A"/>
    <w:rsid w:val="14A64372"/>
    <w:rsid w:val="14ED3D4F"/>
    <w:rsid w:val="15001CD4"/>
    <w:rsid w:val="155E69FB"/>
    <w:rsid w:val="15B336AA"/>
    <w:rsid w:val="161146EA"/>
    <w:rsid w:val="1695469E"/>
    <w:rsid w:val="175E7186"/>
    <w:rsid w:val="17B80644"/>
    <w:rsid w:val="189E3CDE"/>
    <w:rsid w:val="19B65058"/>
    <w:rsid w:val="1A1D0C33"/>
    <w:rsid w:val="1A385A6D"/>
    <w:rsid w:val="1B7F43CE"/>
    <w:rsid w:val="1BAD248A"/>
    <w:rsid w:val="1C0A168B"/>
    <w:rsid w:val="1C5E2AD9"/>
    <w:rsid w:val="1C8A6328"/>
    <w:rsid w:val="1C9F6277"/>
    <w:rsid w:val="1DD41278"/>
    <w:rsid w:val="1E081BFA"/>
    <w:rsid w:val="1E9B2A6E"/>
    <w:rsid w:val="20140D2A"/>
    <w:rsid w:val="20586E69"/>
    <w:rsid w:val="20DD2ECA"/>
    <w:rsid w:val="20E63CC8"/>
    <w:rsid w:val="21374CD0"/>
    <w:rsid w:val="22A5210D"/>
    <w:rsid w:val="22D24584"/>
    <w:rsid w:val="233A2855"/>
    <w:rsid w:val="24013373"/>
    <w:rsid w:val="25E76599"/>
    <w:rsid w:val="25FE400E"/>
    <w:rsid w:val="26AA7F33"/>
    <w:rsid w:val="27AB1F74"/>
    <w:rsid w:val="27FF4722"/>
    <w:rsid w:val="290367D4"/>
    <w:rsid w:val="297B3BC8"/>
    <w:rsid w:val="29F3375E"/>
    <w:rsid w:val="2A025DDB"/>
    <w:rsid w:val="2A375015"/>
    <w:rsid w:val="2A9905A4"/>
    <w:rsid w:val="2B011EAB"/>
    <w:rsid w:val="2D4F15F3"/>
    <w:rsid w:val="2DE4256B"/>
    <w:rsid w:val="2E81758A"/>
    <w:rsid w:val="2EB060C2"/>
    <w:rsid w:val="2EEB0EA8"/>
    <w:rsid w:val="30054AD9"/>
    <w:rsid w:val="30442B30"/>
    <w:rsid w:val="30A15A78"/>
    <w:rsid w:val="30A47560"/>
    <w:rsid w:val="311A0999"/>
    <w:rsid w:val="319475D5"/>
    <w:rsid w:val="31AD669F"/>
    <w:rsid w:val="35260E8C"/>
    <w:rsid w:val="35EE1D4B"/>
    <w:rsid w:val="37BF1123"/>
    <w:rsid w:val="38E47094"/>
    <w:rsid w:val="39810D86"/>
    <w:rsid w:val="3A881CA1"/>
    <w:rsid w:val="3AF166D3"/>
    <w:rsid w:val="3B0829F6"/>
    <w:rsid w:val="3B5B7B12"/>
    <w:rsid w:val="3B7010B2"/>
    <w:rsid w:val="3B8B3D12"/>
    <w:rsid w:val="3D202664"/>
    <w:rsid w:val="3E900306"/>
    <w:rsid w:val="3ED731F7"/>
    <w:rsid w:val="4004001B"/>
    <w:rsid w:val="403C18F8"/>
    <w:rsid w:val="406D3E12"/>
    <w:rsid w:val="40CD73AF"/>
    <w:rsid w:val="40F7192E"/>
    <w:rsid w:val="41846EB2"/>
    <w:rsid w:val="41970A1B"/>
    <w:rsid w:val="42004812"/>
    <w:rsid w:val="436037BB"/>
    <w:rsid w:val="441A605F"/>
    <w:rsid w:val="449C4CC6"/>
    <w:rsid w:val="45455285"/>
    <w:rsid w:val="45CA5863"/>
    <w:rsid w:val="45D43FEC"/>
    <w:rsid w:val="46623CEE"/>
    <w:rsid w:val="467B3C91"/>
    <w:rsid w:val="47DB3D58"/>
    <w:rsid w:val="48C12F4D"/>
    <w:rsid w:val="48D507A7"/>
    <w:rsid w:val="4A9969E8"/>
    <w:rsid w:val="4AF3565B"/>
    <w:rsid w:val="4B076EEB"/>
    <w:rsid w:val="4B7A7E93"/>
    <w:rsid w:val="4B964046"/>
    <w:rsid w:val="4C2B0BB7"/>
    <w:rsid w:val="4D9724CF"/>
    <w:rsid w:val="4DA30E74"/>
    <w:rsid w:val="4E5877A0"/>
    <w:rsid w:val="4F1D07B2"/>
    <w:rsid w:val="4F842056"/>
    <w:rsid w:val="4FE47521"/>
    <w:rsid w:val="506F4752"/>
    <w:rsid w:val="50E579F5"/>
    <w:rsid w:val="520E2096"/>
    <w:rsid w:val="52B256B5"/>
    <w:rsid w:val="52C84ED8"/>
    <w:rsid w:val="5373753A"/>
    <w:rsid w:val="55C45E2B"/>
    <w:rsid w:val="56226FF5"/>
    <w:rsid w:val="572A43B4"/>
    <w:rsid w:val="5853793A"/>
    <w:rsid w:val="587F072F"/>
    <w:rsid w:val="58D520FD"/>
    <w:rsid w:val="5903310E"/>
    <w:rsid w:val="5A783688"/>
    <w:rsid w:val="5CED210B"/>
    <w:rsid w:val="5DA77CEA"/>
    <w:rsid w:val="5E08087F"/>
    <w:rsid w:val="5E203E1A"/>
    <w:rsid w:val="5E504CDE"/>
    <w:rsid w:val="6111492D"/>
    <w:rsid w:val="618F36CE"/>
    <w:rsid w:val="61D75138"/>
    <w:rsid w:val="629E0205"/>
    <w:rsid w:val="639C03E7"/>
    <w:rsid w:val="66770C98"/>
    <w:rsid w:val="67C223E6"/>
    <w:rsid w:val="68E24AEE"/>
    <w:rsid w:val="693D7F76"/>
    <w:rsid w:val="69FD3262"/>
    <w:rsid w:val="6D6C3C2F"/>
    <w:rsid w:val="6D901B30"/>
    <w:rsid w:val="6F0155A2"/>
    <w:rsid w:val="6F5A4CB2"/>
    <w:rsid w:val="6F6607E6"/>
    <w:rsid w:val="70C90342"/>
    <w:rsid w:val="71A130D0"/>
    <w:rsid w:val="71ED1E0E"/>
    <w:rsid w:val="72695938"/>
    <w:rsid w:val="7386251A"/>
    <w:rsid w:val="73B2330F"/>
    <w:rsid w:val="73E7745D"/>
    <w:rsid w:val="74485A21"/>
    <w:rsid w:val="74A92964"/>
    <w:rsid w:val="74F228BF"/>
    <w:rsid w:val="7554492F"/>
    <w:rsid w:val="76B653BA"/>
    <w:rsid w:val="77422BFC"/>
    <w:rsid w:val="777525E9"/>
    <w:rsid w:val="78112CFA"/>
    <w:rsid w:val="78A21D8D"/>
    <w:rsid w:val="78A7540C"/>
    <w:rsid w:val="79E27A58"/>
    <w:rsid w:val="79FC7092"/>
    <w:rsid w:val="7CEF2EDE"/>
    <w:rsid w:val="7D2D1C58"/>
    <w:rsid w:val="7E4D25B2"/>
    <w:rsid w:val="7F9F32D6"/>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next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2"/>
    <w:qFormat/>
    <w:uiPriority w:val="9"/>
    <w:rPr>
      <w:rFonts w:ascii="@仿宋_GB2312" w:hAnsi="@仿宋_GB2312" w:eastAsia="@仿宋_GB2312" w:cs="@仿宋_GB2312"/>
      <w:b/>
      <w:bCs/>
      <w:kern w:val="44"/>
      <w:sz w:val="44"/>
      <w:szCs w:val="44"/>
    </w:r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43</Pages>
  <Words>7174</Words>
  <Characters>7665</Characters>
  <Paragraphs>1417</Paragraphs>
  <TotalTime>0</TotalTime>
  <ScaleCrop>false</ScaleCrop>
  <LinksUpToDate>false</LinksUpToDate>
  <CharactersWithSpaces>7882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2025-08-05T08:31:59Z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3C03A7ABBCF249EB8FCC15FD6500FCB8_13</vt:lpwstr>
  </property>
  <property fmtid="{D5CDD505-2E9C-101B-9397-08002B2CF9AE}" pid="4" name="KSOTemplateDocerSaveRecord">
    <vt:lpwstr>eyJoZGlkIjoiZTQ5YWVjYzdjODE0ZmFhYmI4YTYxNDIwMDkxYjkzMjMiLCJ1c2VySWQiOiIzNzgzMjE3NjkifQ==</vt:lpwstr>
  </property>
</Properties>
</file>