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C921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9E083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4418C7B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F5F7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B62E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E7AA3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52DEC88">
      <w:pPr>
        <w:pStyle w:val="3"/>
        <w:rPr>
          <w:color w:val="auto"/>
          <w:highlight w:val="none"/>
        </w:rPr>
      </w:pPr>
    </w:p>
    <w:p w14:paraId="3CBDA622">
      <w:pPr>
        <w:pStyle w:val="3"/>
        <w:rPr>
          <w:color w:val="auto"/>
          <w:highlight w:val="none"/>
        </w:rPr>
      </w:pPr>
    </w:p>
    <w:p w14:paraId="7599EC4E">
      <w:pPr>
        <w:pStyle w:val="4"/>
        <w:rPr>
          <w:color w:val="auto"/>
          <w:highlight w:val="none"/>
        </w:rPr>
      </w:pPr>
    </w:p>
    <w:p w14:paraId="5FF62D5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5B70616">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滁州市第一人民医院个体化数字医疗工作室建设及技术服务项目</w:t>
      </w:r>
    </w:p>
    <w:p w14:paraId="2420259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CZYY-2026-32</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6BEC08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5ADF1E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67AAE4C">
      <w:pPr>
        <w:pStyle w:val="17"/>
        <w:tabs>
          <w:tab w:val="right" w:leader="dot" w:pos="8306"/>
        </w:tabs>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_Toc32331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_Toc32331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7220D1B">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_Toc8888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_Toc8888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CBFE50E">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_Toc22605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eastAsia="zh-CN"/>
        </w:rPr>
        <w:t xml:space="preserve">第三章 </w:t>
      </w: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_Toc22605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14F2A27">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_Toc30824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_Toc30824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6B74C3F">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_Toc20405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_Toc20405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75A88DC">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_Toc13555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_Toc13555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F099B56">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_Toc20819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_Toc20819 \h </w:instrText>
      </w:r>
      <w:r>
        <w:rPr>
          <w:color w:val="auto"/>
          <w:sz w:val="28"/>
          <w:szCs w:val="28"/>
          <w:highlight w:val="none"/>
        </w:rPr>
        <w:fldChar w:fldCharType="separate"/>
      </w:r>
      <w:r>
        <w:rPr>
          <w:color w:val="auto"/>
          <w:sz w:val="28"/>
          <w:szCs w:val="28"/>
          <w:highlight w:val="none"/>
        </w:rPr>
        <w:t>48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0989348">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30563B0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D8F8FCB">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项目概况</w:t>
      </w:r>
    </w:p>
    <w:p w14:paraId="6B98C0DC">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w:t>
      </w:r>
      <w:r>
        <w:rPr>
          <w:rFonts w:hint="eastAsia" w:ascii="宋体" w:hAnsi="宋体" w:eastAsia="宋体" w:cs="宋体"/>
          <w:color w:val="auto"/>
          <w:sz w:val="24"/>
          <w:szCs w:val="24"/>
          <w:highlight w:val="none"/>
          <w:u w:val="single"/>
          <w:lang w:val="en-US" w:eastAsia="zh-CN" w:bidi="ar"/>
        </w:rPr>
        <w:t>个体化数字医疗工作室建设及技术服务</w:t>
      </w:r>
      <w:r>
        <w:rPr>
          <w:rFonts w:hint="eastAsia" w:ascii="宋体" w:hAnsi="宋体" w:eastAsia="宋体" w:cs="宋体"/>
          <w:color w:val="auto"/>
          <w:sz w:val="24"/>
          <w:szCs w:val="24"/>
          <w:highlight w:val="none"/>
          <w:u w:val="single"/>
          <w:lang w:eastAsia="zh-CN" w:bidi="ar"/>
        </w:rPr>
        <w:t>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widowControl w:val="0"/>
        <w:kinsoku/>
        <w:overflowPunct/>
        <w:topLinePunct w:val="0"/>
        <w:autoSpaceDN/>
        <w:bidi w:val="0"/>
        <w:adjustRightInd/>
        <w:snapToGrid/>
        <w:spacing w:line="400" w:lineRule="exact"/>
        <w:textAlignment w:val="auto"/>
        <w:outlineLvl w:val="1"/>
        <w:rPr>
          <w:rFonts w:hint="eastAsia" w:ascii="宋体" w:hAnsi="宋体" w:eastAsia="宋体"/>
          <w:b/>
          <w:bCs/>
          <w:color w:val="auto"/>
          <w:sz w:val="24"/>
          <w:szCs w:val="24"/>
          <w:highlight w:val="none"/>
        </w:rPr>
      </w:pPr>
      <w:bookmarkStart w:id="2" w:name="_Toc28359002"/>
      <w:bookmarkEnd w:id="2"/>
      <w:bookmarkStart w:id="3" w:name="_Toc35393790"/>
      <w:bookmarkEnd w:id="3"/>
      <w:bookmarkStart w:id="4" w:name="_Toc35393621"/>
      <w:bookmarkEnd w:id="4"/>
      <w:bookmarkStart w:id="5" w:name="_Toc58430305"/>
      <w:bookmarkEnd w:id="5"/>
      <w:bookmarkStart w:id="6" w:name="_Toc28359079"/>
      <w:bookmarkEnd w:id="6"/>
      <w:bookmarkStart w:id="7" w:name="_Hlk24379207"/>
      <w:r>
        <w:rPr>
          <w:rFonts w:hint="eastAsia" w:ascii="宋体" w:hAnsi="宋体" w:eastAsia="宋体" w:cs="宋体"/>
          <w:b/>
          <w:bCs/>
          <w:color w:val="auto"/>
          <w:sz w:val="24"/>
          <w:szCs w:val="24"/>
          <w:highlight w:val="none"/>
          <w:lang w:bidi="ar"/>
        </w:rPr>
        <w:t>一、项目基本情况</w:t>
      </w:r>
      <w:bookmarkEnd w:id="7"/>
    </w:p>
    <w:p w14:paraId="555C6839">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CZYY-2026-32</w:t>
      </w:r>
    </w:p>
    <w:p w14:paraId="5178FB6F">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项目名称：滁州市第一人民医院</w:t>
      </w:r>
      <w:r>
        <w:rPr>
          <w:rFonts w:hint="eastAsia" w:ascii="宋体" w:hAnsi="宋体" w:eastAsia="宋体" w:cs="宋体"/>
          <w:color w:val="auto"/>
          <w:sz w:val="24"/>
          <w:szCs w:val="24"/>
          <w:highlight w:val="none"/>
          <w:lang w:val="en-US" w:eastAsia="zh-CN" w:bidi="ar"/>
        </w:rPr>
        <w:t>个体化数字医疗工作室建设及技术服务</w:t>
      </w:r>
      <w:r>
        <w:rPr>
          <w:rFonts w:hint="eastAsia" w:ascii="宋体" w:hAnsi="宋体" w:eastAsia="宋体" w:cs="宋体"/>
          <w:color w:val="auto"/>
          <w:sz w:val="24"/>
          <w:szCs w:val="24"/>
          <w:highlight w:val="none"/>
          <w:lang w:eastAsia="zh-CN" w:bidi="ar"/>
        </w:rPr>
        <w:t>项目</w:t>
      </w:r>
    </w:p>
    <w:p w14:paraId="5AF87387">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eastAsia="zh-CN" w:bidi="ar"/>
        </w:rPr>
        <w:t>预算金额：</w:t>
      </w:r>
      <w:r>
        <w:rPr>
          <w:rFonts w:hint="default" w:ascii="宋体" w:hAnsi="宋体" w:eastAsia="宋体" w:cs="宋体"/>
          <w:color w:val="auto"/>
          <w:sz w:val="24"/>
          <w:szCs w:val="24"/>
          <w:highlight w:val="none"/>
          <w:lang w:val="en-US" w:eastAsia="zh-CN" w:bidi="ar"/>
        </w:rPr>
        <w:t>40万元/年</w:t>
      </w:r>
    </w:p>
    <w:p w14:paraId="0B559EFE">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限价（折扣率）：</w:t>
      </w:r>
      <w:r>
        <w:rPr>
          <w:rFonts w:hint="eastAsia" w:ascii="宋体" w:hAnsi="宋体" w:eastAsia="宋体" w:cs="宋体"/>
          <w:color w:val="auto"/>
          <w:sz w:val="24"/>
          <w:szCs w:val="24"/>
          <w:highlight w:val="none"/>
          <w:lang w:val="en-US" w:eastAsia="zh-CN" w:bidi="ar"/>
        </w:rPr>
        <w:t>25</w:t>
      </w:r>
      <w:r>
        <w:rPr>
          <w:rFonts w:hint="eastAsia" w:ascii="宋体" w:hAnsi="宋体" w:eastAsia="宋体" w:cs="宋体"/>
          <w:color w:val="auto"/>
          <w:sz w:val="24"/>
          <w:szCs w:val="24"/>
          <w:highlight w:val="none"/>
          <w:lang w:eastAsia="zh-CN" w:bidi="ar"/>
        </w:rPr>
        <w:t>%，投标人</w:t>
      </w:r>
      <w:r>
        <w:rPr>
          <w:rFonts w:hint="eastAsia" w:ascii="宋体" w:hAnsi="宋体" w:eastAsia="宋体" w:cs="宋体"/>
          <w:color w:val="auto"/>
          <w:sz w:val="24"/>
          <w:szCs w:val="24"/>
          <w:highlight w:val="none"/>
          <w:lang w:val="en-US" w:eastAsia="zh-CN" w:bidi="ar"/>
        </w:rPr>
        <w:t>所报</w:t>
      </w:r>
      <w:r>
        <w:rPr>
          <w:rFonts w:hint="eastAsia" w:ascii="宋体" w:hAnsi="宋体" w:eastAsia="宋体" w:cs="宋体"/>
          <w:color w:val="auto"/>
          <w:sz w:val="24"/>
          <w:szCs w:val="24"/>
          <w:highlight w:val="none"/>
          <w:lang w:eastAsia="zh-CN" w:bidi="ar"/>
        </w:rPr>
        <w:t>投标折扣率不得</w:t>
      </w:r>
      <w:r>
        <w:rPr>
          <w:rFonts w:hint="eastAsia" w:ascii="宋体" w:hAnsi="宋体" w:eastAsia="宋体" w:cs="宋体"/>
          <w:color w:val="auto"/>
          <w:sz w:val="24"/>
          <w:szCs w:val="24"/>
          <w:highlight w:val="none"/>
          <w:lang w:val="en-US" w:eastAsia="zh-CN" w:bidi="ar"/>
        </w:rPr>
        <w:t>低于</w:t>
      </w:r>
      <w:r>
        <w:rPr>
          <w:rFonts w:hint="eastAsia" w:ascii="宋体" w:hAnsi="宋体" w:eastAsia="宋体" w:cs="宋体"/>
          <w:color w:val="auto"/>
          <w:sz w:val="24"/>
          <w:szCs w:val="24"/>
          <w:highlight w:val="none"/>
          <w:lang w:eastAsia="zh-CN" w:bidi="ar"/>
        </w:rPr>
        <w:t>本项目设置</w:t>
      </w:r>
      <w:r>
        <w:rPr>
          <w:rFonts w:hint="eastAsia" w:ascii="宋体" w:hAnsi="宋体" w:eastAsia="宋体" w:cs="宋体"/>
          <w:color w:val="auto"/>
          <w:sz w:val="24"/>
          <w:szCs w:val="24"/>
          <w:highlight w:val="none"/>
          <w:lang w:val="en-US" w:eastAsia="zh-CN" w:bidi="ar"/>
        </w:rPr>
        <w:t>的</w:t>
      </w:r>
      <w:r>
        <w:rPr>
          <w:rFonts w:hint="eastAsia" w:ascii="宋体" w:hAnsi="宋体" w:eastAsia="宋体" w:cs="宋体"/>
          <w:color w:val="auto"/>
          <w:sz w:val="24"/>
          <w:szCs w:val="24"/>
          <w:highlight w:val="none"/>
          <w:lang w:eastAsia="zh-CN" w:bidi="ar"/>
        </w:rPr>
        <w:t>限价（折扣率），</w:t>
      </w:r>
      <w:r>
        <w:rPr>
          <w:rFonts w:hint="eastAsia" w:ascii="宋体" w:hAnsi="宋体" w:eastAsia="宋体" w:cs="宋体"/>
          <w:color w:val="auto"/>
          <w:sz w:val="24"/>
          <w:szCs w:val="24"/>
          <w:highlight w:val="none"/>
          <w:lang w:eastAsia="zh-CN" w:bidi="ar"/>
        </w:rPr>
        <w:t>否则按无效投标处理。</w:t>
      </w:r>
    </w:p>
    <w:p w14:paraId="02C282A5">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采购需求：</w:t>
      </w:r>
      <w:r>
        <w:rPr>
          <w:rFonts w:hint="eastAsia" w:ascii="宋体" w:hAnsi="宋体" w:eastAsia="宋体" w:cs="宋体"/>
          <w:color w:val="auto"/>
          <w:sz w:val="24"/>
          <w:szCs w:val="24"/>
          <w:highlight w:val="none"/>
          <w:lang w:val="en-US" w:eastAsia="zh-CN" w:bidi="ar"/>
        </w:rPr>
        <w:t>详见采购需求。</w:t>
      </w:r>
    </w:p>
    <w:p w14:paraId="7B1AA0F8">
      <w:pPr>
        <w:pStyle w:val="8"/>
        <w:keepNext w:val="0"/>
        <w:keepLines w:val="0"/>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合同履行期</w:t>
      </w:r>
      <w:r>
        <w:rPr>
          <w:rFonts w:hint="eastAsia" w:ascii="宋体" w:hAnsi="宋体" w:eastAsia="宋体" w:cs="宋体"/>
          <w:color w:val="auto"/>
          <w:sz w:val="24"/>
          <w:szCs w:val="24"/>
          <w:highlight w:val="none"/>
          <w:lang w:val="en-US" w:eastAsia="zh-CN" w:bidi="ar"/>
        </w:rPr>
        <w:t>限：叁年(1+1+1模式)，合同一年一签，</w:t>
      </w:r>
      <w:r>
        <w:rPr>
          <w:rFonts w:hint="default" w:ascii="宋体" w:hAnsi="宋体" w:eastAsia="宋体" w:cs="宋体"/>
          <w:color w:val="auto"/>
          <w:sz w:val="24"/>
          <w:szCs w:val="24"/>
          <w:highlight w:val="none"/>
          <w:lang w:val="en-US" w:eastAsia="zh-CN" w:bidi="ar"/>
        </w:rPr>
        <w:t>合同年度执行周期内，以年度服务期限届满或年度</w:t>
      </w:r>
      <w:r>
        <w:rPr>
          <w:rFonts w:hint="eastAsia" w:ascii="宋体" w:hAnsi="宋体" w:eastAsia="宋体" w:cs="宋体"/>
          <w:color w:val="auto"/>
          <w:sz w:val="24"/>
          <w:szCs w:val="24"/>
          <w:highlight w:val="none"/>
          <w:lang w:val="en-US" w:eastAsia="zh-CN" w:bidi="ar"/>
        </w:rPr>
        <w:t>销售达到</w:t>
      </w:r>
      <w:r>
        <w:rPr>
          <w:rFonts w:hint="default" w:ascii="宋体" w:hAnsi="宋体" w:eastAsia="宋体" w:cs="宋体"/>
          <w:color w:val="auto"/>
          <w:sz w:val="24"/>
          <w:szCs w:val="24"/>
          <w:highlight w:val="none"/>
          <w:lang w:val="en-US" w:eastAsia="zh-CN" w:bidi="ar"/>
        </w:rPr>
        <w:t>40万元二者先到者，作为本合同当年服务周期终止节点</w:t>
      </w:r>
      <w:r>
        <w:rPr>
          <w:rFonts w:hint="eastAsia" w:ascii="宋体" w:hAnsi="宋体" w:eastAsia="宋体" w:cs="宋体"/>
          <w:color w:val="auto"/>
          <w:sz w:val="24"/>
          <w:szCs w:val="24"/>
          <w:highlight w:val="none"/>
          <w:lang w:val="en-US" w:eastAsia="zh-CN" w:bidi="ar"/>
        </w:rPr>
        <w:t>。</w:t>
      </w:r>
    </w:p>
    <w:p w14:paraId="479E50AB">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本项目不接受联合体投标。</w:t>
      </w:r>
    </w:p>
    <w:p w14:paraId="1F89835E">
      <w:pPr>
        <w:keepNext w:val="0"/>
        <w:keepLines w:val="0"/>
        <w:pageBreakBefore w:val="0"/>
        <w:widowControl w:val="0"/>
        <w:kinsoku/>
        <w:overflowPunct/>
        <w:topLinePunct w:val="0"/>
        <w:autoSpaceDN/>
        <w:bidi w:val="0"/>
        <w:adjustRightInd/>
        <w:snapToGrid/>
        <w:spacing w:line="400" w:lineRule="exact"/>
        <w:textAlignment w:val="auto"/>
        <w:outlineLvl w:val="1"/>
        <w:rPr>
          <w:rFonts w:hint="eastAsia" w:ascii="宋体" w:hAnsi="宋体" w:eastAsia="宋体" w:cs="宋体"/>
          <w:b/>
          <w:bCs/>
          <w:color w:val="auto"/>
          <w:sz w:val="24"/>
          <w:szCs w:val="24"/>
          <w:highlight w:val="none"/>
          <w:lang w:bidi="ar"/>
        </w:rPr>
      </w:pPr>
      <w:bookmarkStart w:id="8" w:name="_Toc28359003"/>
      <w:bookmarkEnd w:id="8"/>
      <w:bookmarkStart w:id="9" w:name="_Toc58430306"/>
      <w:bookmarkEnd w:id="9"/>
      <w:bookmarkStart w:id="10" w:name="_Toc35393791"/>
      <w:bookmarkEnd w:id="10"/>
      <w:bookmarkStart w:id="11" w:name="_Toc35393622"/>
      <w:bookmarkEnd w:id="11"/>
      <w:bookmarkStart w:id="12" w:name="_Toc28359080"/>
      <w:r>
        <w:rPr>
          <w:rFonts w:hint="eastAsia" w:ascii="宋体" w:hAnsi="宋体" w:eastAsia="宋体" w:cs="宋体"/>
          <w:b/>
          <w:bCs/>
          <w:color w:val="auto"/>
          <w:sz w:val="24"/>
          <w:szCs w:val="24"/>
          <w:highlight w:val="none"/>
          <w:lang w:bidi="ar"/>
        </w:rPr>
        <w:t>二、申请人的资格要求</w:t>
      </w:r>
      <w:bookmarkEnd w:id="12"/>
    </w:p>
    <w:p w14:paraId="556AE468">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bidi="ar"/>
        </w:rPr>
      </w:pPr>
      <w:bookmarkStart w:id="13" w:name="_Toc35393792"/>
      <w:bookmarkEnd w:id="13"/>
      <w:bookmarkStart w:id="14" w:name="_Toc35393623"/>
      <w:bookmarkEnd w:id="14"/>
      <w:bookmarkStart w:id="15" w:name="_Toc58430307"/>
      <w:r>
        <w:rPr>
          <w:rFonts w:hint="eastAsia" w:ascii="宋体" w:hAnsi="宋体" w:eastAsia="宋体" w:cs="宋体"/>
          <w:color w:val="auto"/>
          <w:sz w:val="24"/>
          <w:szCs w:val="24"/>
          <w:highlight w:val="none"/>
          <w:lang w:bidi="ar"/>
        </w:rPr>
        <w:t>1.满足《中华人民共和国政府采购法》第二十二条规定；</w:t>
      </w:r>
    </w:p>
    <w:p w14:paraId="0D3766C2">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2.本项目的特定资格要求：</w:t>
      </w:r>
      <w:r>
        <w:rPr>
          <w:rFonts w:hint="eastAsia" w:ascii="宋体" w:hAnsi="宋体" w:eastAsia="宋体" w:cs="宋体"/>
          <w:color w:val="auto"/>
          <w:sz w:val="24"/>
          <w:szCs w:val="24"/>
          <w:highlight w:val="none"/>
          <w:lang w:val="en-US" w:eastAsia="zh-CN" w:bidi="ar"/>
        </w:rPr>
        <w:t>①供应商具有项目相关术中工具所需《医疗器械经营备案凭证》或《医疗器械经营许可证》（经营范围包含无源植入器械）；②术后康复辅具应具有《医疗器械注册证》或《医疗器械备案凭证》，部位至少包含（上肢、下肢、足部）固定器或矫形器；③提供本项目利用3D打印机依据患者情况制作的手术/医学模型医疗器械注册证</w:t>
      </w:r>
      <w:r>
        <w:rPr>
          <w:rFonts w:hint="eastAsia" w:ascii="宋体" w:hAnsi="宋体" w:eastAsia="宋体" w:cs="宋体"/>
          <w:color w:val="auto"/>
          <w:sz w:val="24"/>
          <w:szCs w:val="24"/>
          <w:highlight w:val="none"/>
          <w:lang w:val="en-US" w:eastAsia="zh-CN" w:bidi="ar"/>
        </w:rPr>
        <w:t>（或备案证）</w:t>
      </w:r>
      <w:r>
        <w:rPr>
          <w:rFonts w:hint="eastAsia" w:ascii="宋体" w:hAnsi="宋体" w:eastAsia="宋体" w:cs="宋体"/>
          <w:color w:val="auto"/>
          <w:sz w:val="24"/>
          <w:szCs w:val="24"/>
          <w:highlight w:val="none"/>
          <w:lang w:val="en-US" w:eastAsia="zh-CN" w:bidi="ar"/>
        </w:rPr>
        <w:t>。</w:t>
      </w:r>
    </w:p>
    <w:p w14:paraId="19873A25">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eastAsia="zh-CN" w:bidi="ar"/>
        </w:rPr>
        <w:t>.信誉要求：供应商不得存在以下情形：</w:t>
      </w:r>
    </w:p>
    <w:p w14:paraId="23AFA96B">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①被列入“信用中国”网站“失信被执行人”的；</w:t>
      </w:r>
    </w:p>
    <w:p w14:paraId="501AD6E4">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②被列入“信用中国”网站“重大税收违法失信主体”的；</w:t>
      </w:r>
    </w:p>
    <w:p w14:paraId="6F681575">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③被列入“信用中国”网站 “严重失信主体名单”的；</w:t>
      </w:r>
    </w:p>
    <w:p w14:paraId="2D65953A">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④在“信用中国”网站上披露的仍在公示期的严重失信行为(具体行为类别及判定依据见“信用中国”查询的严重失信行为类别及判定依据)的。</w:t>
      </w:r>
    </w:p>
    <w:p w14:paraId="0DCEDE9E">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⑤被列入国家企业信用信息公示系统网站“经营异常名录”或者“严重违法失信名单”的。</w:t>
      </w:r>
    </w:p>
    <w:p w14:paraId="31DC6D51">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⑥被列入中国政府采购网站“政府采购严重违法失信行为信息记录”的。</w:t>
      </w:r>
    </w:p>
    <w:p w14:paraId="263B12D8">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4.投标人所属分公司、办事处等分支机构存在第3款信誉要求①-⑥项情形之一的，接受投标人参加本项目。</w:t>
      </w:r>
    </w:p>
    <w:p w14:paraId="6DDE074D">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备注：第3、4条按照“关于联合惩戒失信行为加强信用查询管理的通知”查询或承诺。</w:t>
      </w:r>
    </w:p>
    <w:bookmarkEnd w:id="15"/>
    <w:p w14:paraId="3CAFA2D5">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三、获取招标文件</w:t>
      </w:r>
    </w:p>
    <w:p w14:paraId="39069D58">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26</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日</w:t>
      </w:r>
    </w:p>
    <w:p w14:paraId="4DCF1C40">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16" w:name="_Toc28359082"/>
      <w:bookmarkEnd w:id="16"/>
      <w:bookmarkStart w:id="17" w:name="_Toc28359005"/>
      <w:bookmarkEnd w:id="17"/>
      <w:bookmarkStart w:id="18" w:name="_Toc35393793"/>
      <w:bookmarkEnd w:id="18"/>
      <w:bookmarkStart w:id="19" w:name="_Toc35393624"/>
      <w:bookmarkEnd w:id="19"/>
      <w:bookmarkStart w:id="20" w:name="_Toc58430308"/>
      <w:r>
        <w:rPr>
          <w:rFonts w:hint="eastAsia" w:ascii="宋体" w:hAnsi="宋体" w:eastAsia="宋体" w:cs="宋体"/>
          <w:b/>
          <w:bCs/>
          <w:color w:val="auto"/>
          <w:sz w:val="24"/>
          <w:szCs w:val="24"/>
          <w:highlight w:val="none"/>
          <w:lang w:bidi="ar"/>
        </w:rPr>
        <w:t>四、提交投标文件</w:t>
      </w:r>
      <w:bookmarkEnd w:id="20"/>
      <w:r>
        <w:rPr>
          <w:rFonts w:hint="eastAsia" w:ascii="宋体" w:hAnsi="宋体" w:eastAsia="宋体" w:cs="宋体"/>
          <w:b/>
          <w:bCs/>
          <w:color w:val="auto"/>
          <w:sz w:val="24"/>
          <w:szCs w:val="24"/>
          <w:highlight w:val="none"/>
          <w:lang w:bidi="ar"/>
        </w:rPr>
        <w:t>截止时间、开标时间和地点</w:t>
      </w:r>
    </w:p>
    <w:p w14:paraId="637DF32F">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15点00分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71E750ED">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widowControl w:val="0"/>
        <w:kinsoku/>
        <w:overflowPunct/>
        <w:topLinePunct w:val="0"/>
        <w:autoSpaceDE w:val="0"/>
        <w:autoSpaceDN/>
        <w:bidi w:val="0"/>
        <w:adjustRightInd/>
        <w:snapToGrid/>
        <w:spacing w:line="400" w:lineRule="exact"/>
        <w:ind w:firstLine="482" w:firstLineChars="200"/>
        <w:textAlignment w:val="auto"/>
        <w:outlineLvl w:val="2"/>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投标文件递送（或邮寄）地址：滁</w:t>
      </w:r>
      <w:r>
        <w:rPr>
          <w:rFonts w:hint="eastAsia" w:ascii="宋体" w:hAnsi="宋体" w:eastAsia="宋体"/>
          <w:b/>
          <w:bCs/>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1" w:name="_Toc28359007"/>
      <w:bookmarkEnd w:id="21"/>
      <w:bookmarkStart w:id="22" w:name="_Toc35393625"/>
      <w:bookmarkEnd w:id="22"/>
      <w:bookmarkStart w:id="23" w:name="_Toc35393794"/>
      <w:bookmarkEnd w:id="23"/>
      <w:bookmarkStart w:id="24" w:name="_Toc58430309"/>
      <w:bookmarkEnd w:id="24"/>
      <w:bookmarkStart w:id="25" w:name="_Toc28359084"/>
      <w:r>
        <w:rPr>
          <w:rFonts w:hint="eastAsia" w:ascii="宋体" w:hAnsi="宋体" w:eastAsia="宋体" w:cs="宋体"/>
          <w:b/>
          <w:bCs/>
          <w:color w:val="auto"/>
          <w:sz w:val="24"/>
          <w:szCs w:val="24"/>
          <w:highlight w:val="none"/>
          <w:lang w:bidi="ar"/>
        </w:rPr>
        <w:t>五、公告期限</w:t>
      </w:r>
      <w:bookmarkEnd w:id="25"/>
    </w:p>
    <w:p w14:paraId="3120AB5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6" w:name="_Toc58430310"/>
      <w:bookmarkEnd w:id="26"/>
      <w:r>
        <w:rPr>
          <w:rFonts w:hint="eastAsia" w:ascii="宋体" w:hAnsi="宋体" w:eastAsia="宋体" w:cs="宋体"/>
          <w:b/>
          <w:bCs/>
          <w:color w:val="auto"/>
          <w:sz w:val="24"/>
          <w:szCs w:val="24"/>
          <w:highlight w:val="none"/>
          <w:lang w:bidi="ar"/>
        </w:rPr>
        <w:t>六、其他补充事宜</w:t>
      </w:r>
    </w:p>
    <w:p w14:paraId="0D00906C">
      <w:pPr>
        <w:keepNext w:val="0"/>
        <w:keepLines w:val="0"/>
        <w:pageBreakBefore w:val="0"/>
        <w:widowControl w:val="0"/>
        <w:kinsoku/>
        <w:overflowPunct/>
        <w:topLinePunct w:val="0"/>
        <w:autoSpaceDN/>
        <w:bidi w:val="0"/>
        <w:adjustRightInd/>
        <w:snapToGrid/>
        <w:spacing w:line="400" w:lineRule="exact"/>
        <w:ind w:firstLine="528" w:firstLineChars="220"/>
        <w:textAlignment w:val="auto"/>
        <w:outlineLvl w:val="1"/>
        <w:rPr>
          <w:rFonts w:hint="eastAsia" w:ascii="宋体" w:hAnsi="宋体" w:eastAsia="宋体" w:cs="宋体"/>
          <w:color w:val="auto"/>
          <w:sz w:val="24"/>
          <w:szCs w:val="24"/>
          <w:highlight w:val="none"/>
          <w:lang w:bidi="ar"/>
        </w:rPr>
      </w:pPr>
      <w:bookmarkStart w:id="27" w:name="_Toc7265"/>
      <w:bookmarkEnd w:id="27"/>
      <w:bookmarkStart w:id="28" w:name="_Toc3854"/>
      <w:r>
        <w:rPr>
          <w:rFonts w:hint="eastAsia" w:ascii="宋体" w:hAnsi="宋体" w:eastAsia="宋体" w:cs="宋体"/>
          <w:color w:val="auto"/>
          <w:sz w:val="24"/>
          <w:szCs w:val="24"/>
          <w:highlight w:val="none"/>
          <w:lang w:bidi="ar"/>
        </w:rPr>
        <w:t>无</w:t>
      </w:r>
    </w:p>
    <w:p w14:paraId="69B13E66">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28"/>
      <w:r>
        <w:rPr>
          <w:rFonts w:hint="eastAsia" w:ascii="宋体" w:hAnsi="宋体" w:eastAsia="宋体" w:cs="宋体"/>
          <w:b/>
          <w:bCs/>
          <w:color w:val="auto"/>
          <w:sz w:val="24"/>
          <w:szCs w:val="24"/>
          <w:highlight w:val="none"/>
          <w:lang w:bidi="ar"/>
        </w:rPr>
        <w:t>对本次招标提出询问，请按以下方式联系</w:t>
      </w:r>
    </w:p>
    <w:p w14:paraId="4FB3AD9D">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8"/>
        <w:keepNext w:val="0"/>
        <w:keepLines w:val="0"/>
        <w:pageBreakBefore w:val="0"/>
        <w:widowControl w:val="0"/>
        <w:kinsoku/>
        <w:overflowPunct/>
        <w:topLinePunct w:val="0"/>
        <w:autoSpaceDN/>
        <w:bidi w:val="0"/>
        <w:adjustRightInd/>
        <w:snapToGrid/>
        <w:spacing w:after="0" w:line="400" w:lineRule="exact"/>
        <w:ind w:firstLine="480" w:firstLineChars="200"/>
        <w:textAlignment w:val="auto"/>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6CD319E6">
      <w:pPr>
        <w:pStyle w:val="8"/>
        <w:spacing w:after="0" w:line="440" w:lineRule="exact"/>
        <w:ind w:firstLine="480" w:firstLineChars="200"/>
        <w:rPr>
          <w:rFonts w:hint="eastAsia" w:ascii="宋体" w:hAnsi="宋体" w:eastAsia="宋体"/>
          <w:color w:val="auto"/>
          <w:sz w:val="24"/>
          <w:highlight w:val="none"/>
          <w:u w:val="single"/>
          <w:lang w:bidi="ar"/>
        </w:rPr>
      </w:pPr>
    </w:p>
    <w:p w14:paraId="0DDCD00C">
      <w:pPr>
        <w:pStyle w:val="8"/>
        <w:spacing w:after="0" w:line="440" w:lineRule="exact"/>
        <w:ind w:firstLine="480" w:firstLineChars="200"/>
        <w:rPr>
          <w:rFonts w:hint="eastAsia" w:ascii="宋体" w:hAnsi="宋体" w:eastAsia="宋体"/>
          <w:color w:val="auto"/>
          <w:sz w:val="24"/>
          <w:highlight w:val="none"/>
          <w:u w:val="single"/>
          <w:lang w:bidi="ar"/>
        </w:rPr>
      </w:pPr>
    </w:p>
    <w:p w14:paraId="303F3ABC">
      <w:pPr>
        <w:pStyle w:val="8"/>
        <w:spacing w:after="0" w:line="440" w:lineRule="exact"/>
        <w:ind w:firstLine="480" w:firstLineChars="200"/>
        <w:rPr>
          <w:rFonts w:hint="eastAsia" w:ascii="宋体" w:hAnsi="宋体" w:eastAsia="宋体"/>
          <w:color w:val="auto"/>
          <w:sz w:val="24"/>
          <w:highlight w:val="none"/>
          <w:u w:val="single"/>
          <w:lang w:bidi="ar"/>
        </w:rPr>
      </w:pPr>
    </w:p>
    <w:p w14:paraId="42CE2DB1">
      <w:pPr>
        <w:pStyle w:val="8"/>
        <w:spacing w:after="0" w:line="440" w:lineRule="exact"/>
        <w:ind w:firstLine="480" w:firstLineChars="200"/>
        <w:rPr>
          <w:rFonts w:hint="eastAsia" w:ascii="宋体" w:hAnsi="宋体" w:eastAsia="宋体"/>
          <w:color w:val="auto"/>
          <w:sz w:val="24"/>
          <w:highlight w:val="none"/>
          <w:u w:val="single"/>
          <w:lang w:bidi="ar"/>
        </w:rPr>
      </w:pPr>
    </w:p>
    <w:p w14:paraId="67F5C5A8">
      <w:pPr>
        <w:spacing w:line="360" w:lineRule="auto"/>
        <w:jc w:val="center"/>
        <w:outlineLvl w:val="0"/>
        <w:rPr>
          <w:rFonts w:asciiTheme="minorEastAsia" w:hAnsiTheme="minorEastAsia" w:eastAsiaTheme="minorEastAsia"/>
          <w:b/>
          <w:color w:val="auto"/>
          <w:sz w:val="28"/>
          <w:highlight w:val="none"/>
        </w:rPr>
      </w:pPr>
      <w:bookmarkStart w:id="29"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9"/>
    </w:p>
    <w:p w14:paraId="01CD8525">
      <w:pPr>
        <w:spacing w:line="360" w:lineRule="auto"/>
        <w:jc w:val="center"/>
        <w:outlineLvl w:val="1"/>
        <w:rPr>
          <w:rFonts w:asciiTheme="minorEastAsia" w:hAnsiTheme="minorEastAsia" w:eastAsiaTheme="minorEastAsia"/>
          <w:b/>
          <w:color w:val="auto"/>
          <w:sz w:val="24"/>
          <w:highlight w:val="none"/>
        </w:rPr>
      </w:pPr>
      <w:bookmarkStart w:id="30" w:name="_Toc7178"/>
      <w:bookmarkStart w:id="31"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0"/>
      <w:bookmarkEnd w:id="31"/>
    </w:p>
    <w:p w14:paraId="7C98F45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3"/>
        <w:gridCol w:w="5621"/>
      </w:tblGrid>
      <w:tr w14:paraId="2BD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0BEA4FD">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D9BA72">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6" w:type="pct"/>
            <w:vAlign w:val="center"/>
          </w:tcPr>
          <w:p w14:paraId="26474E84">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19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E6DD2D6">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201BED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6" w:type="pct"/>
            <w:vAlign w:val="center"/>
          </w:tcPr>
          <w:p w14:paraId="4B004425">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不组织或不召开</w:t>
            </w:r>
          </w:p>
          <w:p w14:paraId="644315AF">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bCs/>
                <w:color w:val="auto"/>
                <w:sz w:val="24"/>
                <w:highlight w:val="none"/>
              </w:rPr>
              <w:t>统一组织或统一召开</w:t>
            </w:r>
          </w:p>
          <w:p w14:paraId="7CA3B70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FB1B3A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F45F059">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278B564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0A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3617ED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23D9F55D">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6" w:type="pct"/>
            <w:vAlign w:val="center"/>
          </w:tcPr>
          <w:p w14:paraId="73C6F000">
            <w:pPr>
              <w:pStyle w:val="3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cs="宋体"/>
                <w:b/>
                <w:bCs/>
                <w:color w:val="auto"/>
                <w:sz w:val="24"/>
                <w:szCs w:val="24"/>
                <w:highlight w:val="none"/>
                <w:u w:val="none"/>
                <w:lang w:bidi="ar"/>
              </w:rPr>
              <w:t>202</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年</w:t>
            </w:r>
            <w:r>
              <w:rPr>
                <w:rFonts w:hint="eastAsia" w:ascii="宋体" w:hAnsi="宋体" w:eastAsia="宋体" w:cs="宋体"/>
                <w:b/>
                <w:bCs/>
                <w:color w:val="auto"/>
                <w:sz w:val="24"/>
                <w:szCs w:val="24"/>
                <w:highlight w:val="none"/>
                <w:u w:val="none"/>
                <w:lang w:val="en-US" w:eastAsia="zh-CN" w:bidi="ar"/>
              </w:rPr>
              <w:t>5</w:t>
            </w:r>
            <w:r>
              <w:rPr>
                <w:rFonts w:hint="eastAsia" w:ascii="宋体" w:hAnsi="宋体" w:eastAsia="宋体" w:cs="宋体"/>
                <w:b/>
                <w:bCs/>
                <w:color w:val="auto"/>
                <w:sz w:val="24"/>
                <w:szCs w:val="24"/>
                <w:highlight w:val="none"/>
                <w:u w:val="none"/>
                <w:lang w:bidi="ar"/>
              </w:rPr>
              <w:t>月</w:t>
            </w:r>
            <w:r>
              <w:rPr>
                <w:rFonts w:hint="eastAsia" w:ascii="宋体" w:hAnsi="宋体" w:eastAsia="宋体" w:cs="宋体"/>
                <w:b/>
                <w:bCs/>
                <w:color w:val="auto"/>
                <w:sz w:val="24"/>
                <w:szCs w:val="24"/>
                <w:highlight w:val="none"/>
                <w:u w:val="none"/>
                <w:lang w:val="en-US" w:eastAsia="zh-CN" w:bidi="ar"/>
              </w:rPr>
              <w:t>29</w:t>
            </w:r>
            <w:r>
              <w:rPr>
                <w:rFonts w:hint="eastAsia" w:ascii="宋体" w:hAnsi="宋体" w:eastAsia="宋体" w:cs="宋体"/>
                <w:b/>
                <w:bCs/>
                <w:color w:val="auto"/>
                <w:sz w:val="24"/>
                <w:szCs w:val="24"/>
                <w:highlight w:val="none"/>
                <w:u w:val="none"/>
                <w:lang w:bidi="ar"/>
              </w:rPr>
              <w:t>日</w:t>
            </w:r>
            <w:r>
              <w:rPr>
                <w:rFonts w:hint="eastAsia" w:ascii="宋体" w:hAnsi="宋体" w:eastAsia="宋体"/>
                <w:b/>
                <w:bCs/>
                <w:color w:val="auto"/>
                <w:sz w:val="24"/>
                <w:highlight w:val="none"/>
                <w:u w:val="none"/>
                <w:lang w:val="en-US" w:eastAsia="zh-CN"/>
              </w:rPr>
              <w:t>17</w:t>
            </w:r>
            <w:r>
              <w:rPr>
                <w:rFonts w:ascii="宋体" w:hAnsi="宋体" w:eastAsia="宋体"/>
                <w:b/>
                <w:bCs/>
                <w:color w:val="auto"/>
                <w:sz w:val="24"/>
                <w:highlight w:val="none"/>
                <w:u w:val="none"/>
              </w:rPr>
              <w:t>时</w:t>
            </w:r>
            <w:r>
              <w:rPr>
                <w:rFonts w:hint="eastAsia" w:ascii="宋体" w:hAnsi="宋体" w:eastAsia="宋体"/>
                <w:b/>
                <w:bCs/>
                <w:color w:val="auto"/>
                <w:sz w:val="24"/>
                <w:highlight w:val="none"/>
                <w:u w:val="none"/>
                <w:lang w:val="en-US" w:eastAsia="zh-CN"/>
              </w:rPr>
              <w:t>00</w:t>
            </w:r>
            <w:r>
              <w:rPr>
                <w:rFonts w:hint="eastAsia" w:ascii="宋体" w:hAnsi="宋体" w:eastAsia="宋体"/>
                <w:b/>
                <w:bCs/>
                <w:color w:val="auto"/>
                <w:sz w:val="24"/>
                <w:highlight w:val="none"/>
                <w:u w:val="none"/>
              </w:rPr>
              <w:t>分</w:t>
            </w:r>
          </w:p>
        </w:tc>
      </w:tr>
      <w:tr w14:paraId="436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1813A6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33B57292">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6" w:type="pct"/>
            <w:shd w:val="clear" w:color="auto" w:fill="auto"/>
            <w:vAlign w:val="center"/>
          </w:tcPr>
          <w:p w14:paraId="492887FA">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6C88CAA8">
            <w:pPr>
              <w:pStyle w:val="33"/>
              <w:widowControl w:val="0"/>
              <w:spacing w:before="0" w:beforeAutospacing="0" w:after="0" w:afterAutospacing="0" w:line="400" w:lineRule="exact"/>
              <w:ind w:firstLine="45" w:firstLineChars="0"/>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6AC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76F73E85">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207F513">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6" w:type="pct"/>
            <w:vAlign w:val="center"/>
          </w:tcPr>
          <w:p w14:paraId="520281D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DC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F5DBCD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D69C8F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6" w:type="pct"/>
            <w:vAlign w:val="center"/>
          </w:tcPr>
          <w:p w14:paraId="522B046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4AC3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shd w:val="clear" w:color="auto" w:fill="auto"/>
            <w:vAlign w:val="center"/>
          </w:tcPr>
          <w:p w14:paraId="1C3F38E8">
            <w:pPr>
              <w:pStyle w:val="34"/>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rPr>
              <w:t>12.3</w:t>
            </w:r>
          </w:p>
        </w:tc>
        <w:tc>
          <w:tcPr>
            <w:tcW w:w="1174" w:type="pct"/>
            <w:shd w:val="clear" w:color="auto" w:fill="auto"/>
            <w:vAlign w:val="center"/>
          </w:tcPr>
          <w:p w14:paraId="307BA065">
            <w:pPr>
              <w:widowControl/>
              <w:spacing w:line="400" w:lineRule="exact"/>
              <w:jc w:val="left"/>
              <w:rPr>
                <w:rFonts w:hint="eastAsia" w:ascii="宋体" w:hAnsi="宋体" w:eastAsia="宋体" w:cs="@仿宋_GB2312"/>
                <w:color w:val="auto"/>
                <w:kern w:val="2"/>
                <w:sz w:val="24"/>
                <w:highlight w:val="none"/>
                <w:lang w:val="en-US" w:eastAsia="zh-CN" w:bidi="ar-SA"/>
              </w:rPr>
            </w:pPr>
            <w:r>
              <w:rPr>
                <w:rFonts w:hint="eastAsia" w:ascii="宋体" w:hAnsi="宋体" w:eastAsia="宋体" w:cs="宋体"/>
                <w:b/>
                <w:bCs/>
                <w:color w:val="auto"/>
                <w:sz w:val="24"/>
                <w:szCs w:val="24"/>
                <w:highlight w:val="none"/>
                <w:lang w:bidi="ar"/>
              </w:rPr>
              <w:t>提交投标文件截止时间和地点</w:t>
            </w:r>
          </w:p>
        </w:tc>
        <w:tc>
          <w:tcPr>
            <w:tcW w:w="3246" w:type="pct"/>
            <w:shd w:val="clear" w:color="auto" w:fill="auto"/>
            <w:vAlign w:val="center"/>
          </w:tcPr>
          <w:p w14:paraId="5797D7E2">
            <w:pPr>
              <w:autoSpaceDE w:val="0"/>
              <w:spacing w:line="400" w:lineRule="exact"/>
              <w:ind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
                <w:bCs/>
                <w:color w:val="auto"/>
                <w:sz w:val="24"/>
                <w:szCs w:val="24"/>
                <w:highlight w:val="none"/>
                <w:u w:val="none"/>
                <w:lang w:bidi="ar"/>
              </w:rPr>
              <w:t>202</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年</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月</w:t>
            </w:r>
            <w:r>
              <w:rPr>
                <w:rFonts w:hint="eastAsia" w:ascii="宋体" w:hAnsi="宋体" w:eastAsia="宋体" w:cs="宋体"/>
                <w:b/>
                <w:bCs/>
                <w:color w:val="auto"/>
                <w:sz w:val="24"/>
                <w:szCs w:val="24"/>
                <w:highlight w:val="none"/>
                <w:u w:val="none"/>
                <w:lang w:val="en-US" w:eastAsia="zh-CN" w:bidi="ar"/>
              </w:rPr>
              <w:t>2</w:t>
            </w:r>
            <w:r>
              <w:rPr>
                <w:rFonts w:hint="eastAsia" w:ascii="宋体" w:hAnsi="宋体" w:eastAsia="宋体" w:cs="宋体"/>
                <w:b/>
                <w:bCs/>
                <w:color w:val="auto"/>
                <w:sz w:val="24"/>
                <w:szCs w:val="24"/>
                <w:highlight w:val="none"/>
                <w:u w:val="none"/>
                <w:lang w:bidi="ar"/>
              </w:rPr>
              <w:t>日</w:t>
            </w:r>
            <w:r>
              <w:rPr>
                <w:rFonts w:hint="eastAsia" w:ascii="宋体" w:hAnsi="宋体" w:eastAsia="宋体" w:cs="宋体"/>
                <w:b/>
                <w:bCs/>
                <w:color w:val="auto"/>
                <w:sz w:val="24"/>
                <w:szCs w:val="24"/>
                <w:highlight w:val="none"/>
                <w:u w:val="none"/>
                <w:lang w:val="en-US" w:eastAsia="zh-CN" w:bidi="ar"/>
              </w:rPr>
              <w:t xml:space="preserve">15 </w:t>
            </w:r>
            <w:r>
              <w:rPr>
                <w:rFonts w:hint="eastAsia" w:ascii="宋体" w:hAnsi="宋体" w:eastAsia="宋体" w:cs="宋体"/>
                <w:b/>
                <w:bCs/>
                <w:i w:val="0"/>
                <w:iCs w:val="0"/>
                <w:color w:val="auto"/>
                <w:sz w:val="24"/>
                <w:szCs w:val="24"/>
                <w:highlight w:val="none"/>
                <w:u w:val="none"/>
                <w:lang w:bidi="ar"/>
              </w:rPr>
              <w:t>点</w:t>
            </w:r>
            <w:r>
              <w:rPr>
                <w:rFonts w:hint="eastAsia" w:ascii="宋体" w:hAnsi="宋体" w:eastAsia="宋体" w:cs="宋体"/>
                <w:b/>
                <w:bCs/>
                <w:color w:val="auto"/>
                <w:sz w:val="24"/>
                <w:szCs w:val="24"/>
                <w:highlight w:val="none"/>
                <w:u w:val="none"/>
                <w:lang w:val="en-US" w:eastAsia="zh-CN" w:bidi="ar"/>
              </w:rPr>
              <w:t>00</w:t>
            </w:r>
            <w:r>
              <w:rPr>
                <w:rFonts w:hint="eastAsia" w:ascii="宋体" w:hAnsi="宋体" w:eastAsia="宋体" w:cs="宋体"/>
                <w:b/>
                <w:bCs/>
                <w:color w:val="auto"/>
                <w:sz w:val="24"/>
                <w:szCs w:val="24"/>
                <w:highlight w:val="none"/>
                <w:u w:val="none"/>
                <w:lang w:bidi="ar"/>
              </w:rPr>
              <w:t>分</w:t>
            </w:r>
            <w:r>
              <w:rPr>
                <w:rFonts w:hint="eastAsia" w:ascii="宋体" w:hAnsi="宋体" w:eastAsia="宋体" w:cs="宋体"/>
                <w:bCs/>
                <w:color w:val="auto"/>
                <w:sz w:val="24"/>
                <w:szCs w:val="24"/>
                <w:highlight w:val="none"/>
                <w:u w:val="none"/>
                <w:lang w:bidi="ar"/>
              </w:rPr>
              <w:t>（</w:t>
            </w:r>
            <w:r>
              <w:rPr>
                <w:rFonts w:hint="eastAsia" w:ascii="宋体" w:hAnsi="宋体" w:eastAsia="宋体" w:cs="宋体"/>
                <w:bCs/>
                <w:color w:val="auto"/>
                <w:sz w:val="24"/>
                <w:szCs w:val="24"/>
                <w:highlight w:val="none"/>
                <w:lang w:bidi="ar"/>
              </w:rPr>
              <w:t>北京时间）</w:t>
            </w:r>
          </w:p>
          <w:p w14:paraId="26230D5B">
            <w:pPr>
              <w:autoSpaceDE w:val="0"/>
              <w:spacing w:line="400" w:lineRule="exact"/>
              <w:ind w:firstLine="45" w:firstLineChars="0"/>
              <w:outlineLvl w:val="2"/>
              <w:rPr>
                <w:rFonts w:hint="eastAsia" w:ascii="宋体" w:hAnsi="宋体" w:eastAsia="宋体" w:cs="@仿宋_GB2312"/>
                <w:color w:val="auto"/>
                <w:kern w:val="2"/>
                <w:sz w:val="24"/>
                <w:highlight w:val="none"/>
                <w:u w:val="single"/>
                <w:lang w:val="en-US" w:eastAsia="zh-CN" w:bidi="ar-SA"/>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438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9BFE1F3">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510CB0A1">
            <w:pPr>
              <w:widowControl/>
              <w:spacing w:line="400" w:lineRule="exact"/>
              <w:jc w:val="left"/>
              <w:rPr>
                <w:rFonts w:ascii="宋体" w:hAnsi="宋体" w:eastAsia="宋体"/>
                <w:b w:val="0"/>
                <w:color w:val="auto"/>
                <w:sz w:val="24"/>
                <w:highlight w:val="none"/>
              </w:rPr>
            </w:pPr>
            <w:r>
              <w:rPr>
                <w:rFonts w:hint="eastAsia" w:ascii="宋体" w:hAnsi="宋体" w:eastAsia="宋体" w:cs="宋体"/>
                <w:b/>
                <w:bCs/>
                <w:color w:val="auto"/>
                <w:sz w:val="24"/>
                <w:szCs w:val="24"/>
                <w:highlight w:val="none"/>
                <w:lang w:bidi="ar"/>
              </w:rPr>
              <w:t>开标时间和地点</w:t>
            </w:r>
          </w:p>
        </w:tc>
        <w:tc>
          <w:tcPr>
            <w:tcW w:w="3246" w:type="pct"/>
            <w:vAlign w:val="center"/>
          </w:tcPr>
          <w:p w14:paraId="6F63D710">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bCs/>
                <w:color w:val="auto"/>
                <w:sz w:val="24"/>
                <w:szCs w:val="24"/>
                <w:highlight w:val="none"/>
                <w:u w:val="none"/>
                <w:lang w:bidi="ar"/>
              </w:rPr>
              <w:t>202</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年</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月</w:t>
            </w:r>
            <w:r>
              <w:rPr>
                <w:rFonts w:hint="eastAsia" w:ascii="宋体" w:hAnsi="宋体" w:eastAsia="宋体" w:cs="宋体"/>
                <w:b/>
                <w:bCs/>
                <w:color w:val="auto"/>
                <w:sz w:val="24"/>
                <w:szCs w:val="24"/>
                <w:highlight w:val="none"/>
                <w:u w:val="none"/>
                <w:lang w:val="en-US" w:eastAsia="zh-CN" w:bidi="ar"/>
              </w:rPr>
              <w:t>2</w:t>
            </w:r>
            <w:r>
              <w:rPr>
                <w:rFonts w:hint="eastAsia" w:ascii="宋体" w:hAnsi="宋体" w:eastAsia="宋体" w:cs="宋体"/>
                <w:b/>
                <w:bCs/>
                <w:color w:val="auto"/>
                <w:sz w:val="24"/>
                <w:szCs w:val="24"/>
                <w:highlight w:val="none"/>
                <w:u w:val="none"/>
                <w:lang w:bidi="ar"/>
              </w:rPr>
              <w:t>日</w:t>
            </w:r>
            <w:r>
              <w:rPr>
                <w:rFonts w:hint="eastAsia" w:ascii="宋体" w:hAnsi="宋体" w:eastAsia="宋体" w:cs="宋体"/>
                <w:b/>
                <w:bCs/>
                <w:color w:val="auto"/>
                <w:sz w:val="24"/>
                <w:szCs w:val="24"/>
                <w:highlight w:val="none"/>
                <w:u w:val="none"/>
                <w:lang w:val="en-US" w:eastAsia="zh-CN" w:bidi="ar"/>
              </w:rPr>
              <w:t xml:space="preserve">15 </w:t>
            </w:r>
            <w:r>
              <w:rPr>
                <w:rFonts w:hint="eastAsia" w:ascii="宋体" w:hAnsi="宋体" w:eastAsia="宋体" w:cs="宋体"/>
                <w:b/>
                <w:bCs/>
                <w:i w:val="0"/>
                <w:iCs w:val="0"/>
                <w:color w:val="auto"/>
                <w:sz w:val="24"/>
                <w:szCs w:val="24"/>
                <w:highlight w:val="none"/>
                <w:u w:val="none"/>
                <w:lang w:bidi="ar"/>
              </w:rPr>
              <w:t>点</w:t>
            </w:r>
            <w:r>
              <w:rPr>
                <w:rFonts w:hint="eastAsia" w:ascii="宋体" w:hAnsi="宋体" w:eastAsia="宋体" w:cs="宋体"/>
                <w:b/>
                <w:bCs/>
                <w:color w:val="auto"/>
                <w:sz w:val="24"/>
                <w:szCs w:val="24"/>
                <w:highlight w:val="none"/>
                <w:u w:val="none"/>
                <w:lang w:val="en-US" w:eastAsia="zh-CN" w:bidi="ar"/>
              </w:rPr>
              <w:t>00</w:t>
            </w:r>
            <w:r>
              <w:rPr>
                <w:rFonts w:hint="eastAsia" w:ascii="宋体" w:hAnsi="宋体" w:eastAsia="宋体" w:cs="宋体"/>
                <w:b/>
                <w:bCs/>
                <w:color w:val="auto"/>
                <w:sz w:val="24"/>
                <w:szCs w:val="24"/>
                <w:highlight w:val="none"/>
                <w:u w:val="none"/>
                <w:lang w:bidi="ar"/>
              </w:rPr>
              <w:t>分</w:t>
            </w:r>
            <w:r>
              <w:rPr>
                <w:rFonts w:hint="eastAsia" w:ascii="宋体" w:hAnsi="宋体" w:eastAsia="宋体" w:cs="宋体"/>
                <w:bCs/>
                <w:color w:val="auto"/>
                <w:sz w:val="24"/>
                <w:szCs w:val="24"/>
                <w:highlight w:val="none"/>
                <w:u w:val="none"/>
                <w:lang w:bidi="ar"/>
              </w:rPr>
              <w:t>（</w:t>
            </w:r>
            <w:r>
              <w:rPr>
                <w:rFonts w:hint="eastAsia" w:ascii="宋体" w:hAnsi="宋体" w:eastAsia="宋体" w:cs="宋体"/>
                <w:bCs/>
                <w:color w:val="auto"/>
                <w:sz w:val="24"/>
                <w:szCs w:val="24"/>
                <w:highlight w:val="none"/>
                <w:lang w:bidi="ar"/>
              </w:rPr>
              <w:t>北京时间）</w:t>
            </w:r>
          </w:p>
          <w:p w14:paraId="6AB259DA">
            <w:pPr>
              <w:autoSpaceDE w:val="0"/>
              <w:spacing w:line="400" w:lineRule="exact"/>
              <w:ind w:firstLine="45" w:firstLineChars="0"/>
              <w:outlineLvl w:val="2"/>
              <w:rPr>
                <w:rFonts w:hint="eastAsia" w:ascii="宋体" w:hAnsi="宋体" w:eastAsia="宋体"/>
                <w:b w:val="0"/>
                <w:color w:val="auto"/>
                <w:sz w:val="24"/>
                <w:highlight w:val="none"/>
                <w:u w:val="single"/>
                <w:lang w:val="en-US" w:eastAsia="zh-CN"/>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74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E7C644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2B44367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6" w:type="pct"/>
            <w:vAlign w:val="center"/>
          </w:tcPr>
          <w:p w14:paraId="221DE1A4">
            <w:pPr>
              <w:pStyle w:val="3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E8FB0E4">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0E1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7B4784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BEDD8B2">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6" w:type="pct"/>
            <w:vAlign w:val="center"/>
          </w:tcPr>
          <w:p w14:paraId="3D28E686">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0F10826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1A26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CEEF6A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AAFE4F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6" w:type="pct"/>
            <w:vAlign w:val="center"/>
          </w:tcPr>
          <w:p w14:paraId="45E51C21">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7E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7AF1DF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62C6F20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6" w:type="pct"/>
            <w:vAlign w:val="center"/>
          </w:tcPr>
          <w:p w14:paraId="601A7770">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5A4428D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2252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E5749C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FEDA85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6" w:type="pct"/>
            <w:vAlign w:val="center"/>
          </w:tcPr>
          <w:p w14:paraId="5087DEFE">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（1）中标（成交）供应商的评审报价</w:t>
            </w:r>
            <w:r>
              <w:rPr>
                <w:rFonts w:hint="eastAsia" w:ascii="宋体" w:hAnsi="宋体" w:eastAsia="宋体"/>
                <w:bCs w:val="0"/>
                <w:color w:val="auto"/>
                <w:sz w:val="24"/>
                <w:highlight w:val="none"/>
              </w:rPr>
              <w:t>（适用最低评标价法）</w:t>
            </w:r>
          </w:p>
          <w:p w14:paraId="54840B83">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551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DE9DD4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C3BDEB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6" w:type="pct"/>
            <w:vAlign w:val="center"/>
          </w:tcPr>
          <w:p w14:paraId="11B63DA8">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bCs w:val="0"/>
                <w:color w:val="auto"/>
                <w:sz w:val="24"/>
                <w:szCs w:val="24"/>
                <w:highlight w:val="none"/>
              </w:rPr>
              <w:t>数据电文</w:t>
            </w:r>
          </w:p>
        </w:tc>
      </w:tr>
      <w:tr w14:paraId="506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B0589C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81DC84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6" w:type="pct"/>
            <w:vAlign w:val="center"/>
          </w:tcPr>
          <w:p w14:paraId="20A3A332">
            <w:pPr>
              <w:pStyle w:val="33"/>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b w:val="0"/>
                <w:color w:val="auto"/>
                <w:sz w:val="24"/>
                <w:highlight w:val="none"/>
              </w:rPr>
              <w:t>投标人自行在滁州市第一人民医院官网查看</w:t>
            </w:r>
          </w:p>
        </w:tc>
      </w:tr>
      <w:tr w14:paraId="59A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7" w:hRule="atLeast"/>
          <w:jc w:val="center"/>
        </w:trPr>
        <w:tc>
          <w:tcPr>
            <w:tcW w:w="579" w:type="pct"/>
            <w:vAlign w:val="center"/>
          </w:tcPr>
          <w:p w14:paraId="407870D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7FAEFF6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6" w:type="pct"/>
          </w:tcPr>
          <w:p w14:paraId="44B2D99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spacing w:line="400" w:lineRule="exact"/>
              <w:ind w:firstLine="45"/>
              <w:rPr>
                <w:rFonts w:hint="eastAsia" w:ascii="宋体" w:hAnsi="宋体" w:eastAsia="宋体"/>
                <w:bCs/>
                <w:color w:val="auto"/>
                <w:kern w:val="0"/>
                <w:sz w:val="24"/>
                <w:szCs w:val="28"/>
                <w:highlight w:val="none"/>
              </w:rPr>
            </w:pPr>
            <w:r>
              <w:rPr>
                <w:rFonts w:hint="eastAsia" w:ascii="Segoe UI Symbol" w:hAnsi="Segoe UI Symbol" w:eastAsia="宋体" w:cs="Segoe UI Symbol"/>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847FC54">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A7F610">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092F05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spacing w:line="400" w:lineRule="exact"/>
              <w:ind w:firstLine="45"/>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21BC9BA9">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keepNext w:val="0"/>
              <w:keepLines w:val="0"/>
              <w:pageBreakBefore w:val="0"/>
              <w:widowControl w:val="0"/>
              <w:kinsoku/>
              <w:wordWrap/>
              <w:overflowPunct/>
              <w:topLinePunct w:val="0"/>
              <w:autoSpaceDE/>
              <w:autoSpaceDN/>
              <w:bidi w:val="0"/>
              <w:adjustRightInd/>
              <w:snapToGrid/>
              <w:spacing w:line="360" w:lineRule="auto"/>
              <w:ind w:firstLine="45"/>
              <w:textAlignment w:val="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EC742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BB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9" w:type="pct"/>
            <w:vAlign w:val="center"/>
          </w:tcPr>
          <w:p w14:paraId="7D9D1502">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7B2FA7B2">
            <w:pPr>
              <w:pStyle w:val="3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6" w:type="pct"/>
          </w:tcPr>
          <w:p w14:paraId="765C957B">
            <w:pPr>
              <w:pStyle w:val="19"/>
              <w:widowControl/>
              <w:spacing w:before="0" w:beforeAutospacing="0" w:after="0" w:afterAutospacing="0" w:line="400" w:lineRule="exact"/>
              <w:ind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FA32D01">
            <w:pPr>
              <w:pStyle w:val="19"/>
              <w:widowControl/>
              <w:spacing w:before="0" w:beforeAutospacing="0" w:after="0" w:afterAutospacing="0" w:line="400" w:lineRule="exact"/>
              <w:ind w:firstLine="45"/>
              <w:rPr>
                <w:rFonts w:hint="default" w:ascii="宋体" w:hAnsi="宋体" w:eastAsia="宋体"/>
                <w:b/>
                <w:bCs/>
                <w:color w:val="auto"/>
                <w:kern w:val="0"/>
                <w:sz w:val="24"/>
                <w:szCs w:val="24"/>
                <w:highlight w:val="none"/>
                <w:lang w:val="en-US"/>
              </w:rPr>
            </w:pPr>
            <w:r>
              <w:rPr>
                <w:rFonts w:hint="eastAsia" w:ascii="宋体" w:hAnsi="宋体" w:eastAsia="宋体" w:cs="宋体"/>
                <w:color w:val="auto"/>
                <w:szCs w:val="24"/>
                <w:highlight w:val="none"/>
              </w:rPr>
              <w:t>（2）采购人与中标人不得擅自变更合同。</w:t>
            </w:r>
          </w:p>
        </w:tc>
      </w:tr>
      <w:tr w14:paraId="28F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1D20366">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D4A2288">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6" w:type="pct"/>
            <w:vAlign w:val="center"/>
          </w:tcPr>
          <w:p w14:paraId="3CB6D22C">
            <w:pPr>
              <w:spacing w:line="400" w:lineRule="exact"/>
              <w:ind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ascii="宋体" w:hAnsi="宋体" w:eastAsia="宋体" w:cs="宋体"/>
                <w:color w:val="auto"/>
                <w:spacing w:val="14"/>
                <w:sz w:val="24"/>
                <w:szCs w:val="24"/>
                <w:highlight w:val="none"/>
              </w:rPr>
              <w:t>中标人</w:t>
            </w:r>
          </w:p>
          <w:p w14:paraId="4CA9C0EB">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7BAFAA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3000元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不含</w:t>
            </w:r>
            <w:r>
              <w:rPr>
                <w:rFonts w:hint="eastAsia" w:ascii="宋体" w:hAnsi="宋体" w:eastAsia="宋体" w:cs="宋体"/>
                <w:color w:val="auto"/>
                <w:sz w:val="24"/>
                <w:szCs w:val="24"/>
                <w:highlight w:val="none"/>
                <w:u w:val="single"/>
              </w:rPr>
              <w:t>评审费</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评审费另计，以实际发生为准）</w:t>
            </w:r>
          </w:p>
        </w:tc>
      </w:tr>
      <w:tr w14:paraId="506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EB2154D">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7E28CF0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6" w:type="pct"/>
            <w:vAlign w:val="center"/>
          </w:tcPr>
          <w:p w14:paraId="740190FB">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spacing w:line="400" w:lineRule="exact"/>
              <w:ind w:firstLine="45"/>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spacing w:line="400" w:lineRule="exact"/>
              <w:ind w:firstLine="45"/>
              <w:rPr>
                <w:rFonts w:hint="eastAsia" w:ascii="宋体" w:hAnsi="宋体" w:eastAsia="宋体"/>
                <w:color w:val="auto"/>
                <w:sz w:val="24"/>
                <w:szCs w:val="18"/>
                <w:highlight w:val="none"/>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68F158E">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通讯地址：</w:t>
            </w:r>
            <w:r>
              <w:rPr>
                <w:rFonts w:hint="eastAsia" w:ascii="宋体" w:hAnsi="宋体" w:eastAsia="宋体"/>
                <w:b w:val="0"/>
                <w:bCs w:val="0"/>
                <w:color w:val="auto"/>
                <w:sz w:val="24"/>
                <w:szCs w:val="24"/>
                <w:highlight w:val="none"/>
                <w:u w:val="single"/>
                <w:lang w:bidi="ar"/>
              </w:rPr>
              <w:t>滁州市醉翁西路369号</w:t>
            </w:r>
            <w:r>
              <w:rPr>
                <w:rFonts w:hint="eastAsia" w:ascii="宋体" w:hAnsi="宋体" w:eastAsia="宋体"/>
                <w:b w:val="0"/>
                <w:bCs w:val="0"/>
                <w:color w:val="auto"/>
                <w:kern w:val="0"/>
                <w:sz w:val="24"/>
                <w:szCs w:val="28"/>
                <w:highlight w:val="none"/>
                <w:u w:val="single"/>
              </w:rPr>
              <w:t xml:space="preserve">、滁州市会峰西路72-11号 </w:t>
            </w:r>
          </w:p>
        </w:tc>
      </w:tr>
      <w:tr w14:paraId="076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CEC15E4">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434193E1">
            <w:pPr>
              <w:pStyle w:val="3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6" w:type="pct"/>
            <w:vAlign w:val="center"/>
          </w:tcPr>
          <w:p w14:paraId="423E9A44">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E6A07DD">
            <w:pPr>
              <w:pStyle w:val="33"/>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166DA7D2">
            <w:pPr>
              <w:pStyle w:val="33"/>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79CA0F67">
      <w:pPr>
        <w:spacing w:line="360" w:lineRule="auto"/>
        <w:jc w:val="center"/>
        <w:outlineLvl w:val="1"/>
        <w:rPr>
          <w:rFonts w:hint="eastAsia" w:asciiTheme="minorEastAsia" w:hAnsiTheme="minorEastAsia" w:eastAsiaTheme="minorEastAsia"/>
          <w:b/>
          <w:color w:val="auto"/>
          <w:sz w:val="24"/>
          <w:highlight w:val="none"/>
        </w:rPr>
      </w:pPr>
      <w:bookmarkStart w:id="32" w:name="_Toc9427"/>
      <w:bookmarkStart w:id="33" w:name="_Toc24882"/>
    </w:p>
    <w:p w14:paraId="447D020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2"/>
      <w:bookmarkEnd w:id="33"/>
    </w:p>
    <w:p w14:paraId="487646C4">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D6B5A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1E88A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B9E9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3E0C0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3D13D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BD1D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D1EDD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8DE7F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424B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408BEA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0CFCD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E0240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7EFF7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09D82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AFB2F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8A91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F1F4B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36260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4B5DD7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05D2B6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570F4D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E22376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9E2859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0F4059E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AB9EF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4EA3E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9BF273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7CEE7D6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48D6CF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08049A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2C599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92C629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D833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D10DD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30D87A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3D13F49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CFC92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EF96C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AA4DD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4A699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0DC84A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5B107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D1926">
      <w:pPr>
        <w:spacing w:line="360" w:lineRule="auto"/>
        <w:ind w:firstLine="435"/>
        <w:rPr>
          <w:rFonts w:asciiTheme="minorEastAsia" w:hAnsiTheme="minorEastAsia" w:eastAsiaTheme="minorEastAsia"/>
          <w:color w:val="auto"/>
          <w:sz w:val="24"/>
          <w:highlight w:val="none"/>
        </w:rPr>
      </w:pPr>
      <w:bookmarkStart w:id="34"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34"/>
    <w:p w14:paraId="296C83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877C9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2B93D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E7F6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FD55D8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5" w:name="_Hlk11703583"/>
      <w:r>
        <w:rPr>
          <w:rFonts w:hint="eastAsia" w:asciiTheme="minorEastAsia" w:hAnsiTheme="minorEastAsia" w:eastAsiaTheme="minorEastAsia"/>
          <w:color w:val="auto"/>
          <w:sz w:val="24"/>
          <w:highlight w:val="none"/>
          <w:lang w:val="en-US" w:eastAsia="zh-CN"/>
        </w:rPr>
        <w:t>等。</w:t>
      </w:r>
    </w:p>
    <w:bookmarkEnd w:id="35"/>
    <w:p w14:paraId="451C6F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75E38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C765D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4E0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w:t>
      </w:r>
      <w:r>
        <w:rPr>
          <w:rFonts w:hint="eastAsia" w:asciiTheme="minorEastAsia" w:hAnsiTheme="minorEastAsia" w:eastAsiaTheme="minorEastAsia"/>
          <w:color w:val="auto"/>
          <w:sz w:val="24"/>
          <w:highlight w:val="none"/>
          <w:lang w:val="en-US" w:eastAsia="zh-CN"/>
        </w:rPr>
        <w:t>低于</w:t>
      </w:r>
      <w:r>
        <w:rPr>
          <w:rFonts w:asciiTheme="minorEastAsia" w:hAnsiTheme="minorEastAsia" w:eastAsiaTheme="minorEastAsia"/>
          <w:color w:val="auto"/>
          <w:sz w:val="24"/>
          <w:highlight w:val="none"/>
        </w:rPr>
        <w:t>招标文件规定的限价，其投标将被认定为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2D8EC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w:t>
      </w:r>
      <w:r>
        <w:rPr>
          <w:rFonts w:hint="eastAsia" w:asciiTheme="minorEastAsia" w:hAnsiTheme="minorEastAsia" w:eastAsiaTheme="minorEastAsia"/>
          <w:color w:val="auto"/>
          <w:sz w:val="24"/>
          <w:highlight w:val="none"/>
          <w:lang w:val="en-US" w:eastAsia="zh-CN"/>
        </w:rPr>
        <w:t>高于</w:t>
      </w:r>
      <w:r>
        <w:rPr>
          <w:rFonts w:hint="eastAsia" w:asciiTheme="minorEastAsia" w:hAnsiTheme="minorEastAsia" w:eastAsiaTheme="minorEastAsia"/>
          <w:color w:val="auto"/>
          <w:sz w:val="24"/>
          <w:highlight w:val="none"/>
        </w:rPr>
        <w:t>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0149BC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D0349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E74BD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ED664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6B3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CE2F5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w:t>
      </w:r>
      <w:r>
        <w:rPr>
          <w:rFonts w:hint="eastAsia" w:asciiTheme="minorEastAsia" w:hAnsiTheme="minorEastAsia" w:eastAsiaTheme="minorEastAsia"/>
          <w:b/>
          <w:bCs/>
          <w:color w:val="auto"/>
          <w:sz w:val="24"/>
          <w:highlight w:val="none"/>
        </w:rPr>
        <w:t>一式三份，正本一份，副本二份</w:t>
      </w:r>
      <w:r>
        <w:rPr>
          <w:rFonts w:hint="eastAsia" w:asciiTheme="minorEastAsia" w:hAnsiTheme="minorEastAsia" w:eastAsiaTheme="minorEastAsia"/>
          <w:color w:val="auto"/>
          <w:sz w:val="24"/>
          <w:highlight w:val="none"/>
        </w:rPr>
        <w:t>。</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b/>
          <w:bCs/>
          <w:color w:val="auto"/>
          <w:sz w:val="24"/>
          <w:highlight w:val="none"/>
        </w:rPr>
        <w:t>供应商应当将投标文件正本、副本密封在一个档案袋内</w:t>
      </w:r>
      <w:r>
        <w:rPr>
          <w:rFonts w:hint="eastAsia" w:asciiTheme="minorEastAsia" w:hAnsiTheme="minorEastAsia" w:eastAsiaTheme="minorEastAsia"/>
          <w:color w:val="auto"/>
          <w:sz w:val="24"/>
          <w:highlight w:val="none"/>
        </w:rPr>
        <w:t>。</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5F6056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7CEA8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2BA6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38ADF34">
      <w:pPr>
        <w:spacing w:line="360" w:lineRule="auto"/>
        <w:ind w:firstLine="435"/>
        <w:rPr>
          <w:rFonts w:hint="eastAsia" w:ascii="宋体" w:hAnsi="宋体" w:eastAsia="宋体" w:cs="宋体"/>
          <w:color w:val="auto"/>
          <w:sz w:val="24"/>
          <w:szCs w:val="24"/>
          <w:highlight w:val="none"/>
        </w:rPr>
      </w:pPr>
      <w:bookmarkStart w:id="36"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6"/>
    <w:p w14:paraId="2B128B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AB141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6C796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399CD7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w:t>
      </w:r>
      <w:r>
        <w:rPr>
          <w:rFonts w:hint="eastAsia" w:ascii="宋体" w:hAnsi="宋体" w:eastAsia="宋体"/>
          <w:color w:val="auto"/>
          <w:sz w:val="24"/>
          <w:highlight w:val="none"/>
          <w:lang w:val="en-US" w:eastAsia="zh-CN"/>
        </w:rPr>
        <w:t>高于</w:t>
      </w:r>
      <w:r>
        <w:rPr>
          <w:rFonts w:ascii="宋体" w:hAnsi="宋体" w:eastAsia="宋体"/>
          <w:color w:val="auto"/>
          <w:sz w:val="24"/>
          <w:highlight w:val="none"/>
        </w:rPr>
        <w:t>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2A29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56771C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F730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CC914C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8A11D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和小写金额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不一致的，以大写金额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为准；</w:t>
      </w:r>
    </w:p>
    <w:p w14:paraId="4CA8D87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小数点或者百分比有明显错位的，以开标一览表的总价为准，并修改单价；</w:t>
      </w:r>
    </w:p>
    <w:p w14:paraId="4AE8A2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与按单价汇总金额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不一致的，以单价金额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D3AA14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F260E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177CC9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29025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AD3BB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复印件</w:t>
      </w:r>
      <w:r>
        <w:rPr>
          <w:rFonts w:hint="eastAsia" w:asciiTheme="minorEastAsia" w:hAnsiTheme="minorEastAsia" w:eastAsiaTheme="minorEastAsia"/>
          <w:color w:val="auto"/>
          <w:sz w:val="24"/>
          <w:highlight w:val="none"/>
        </w:rPr>
        <w:t>的，评标委员会视同其未提供。</w:t>
      </w:r>
    </w:p>
    <w:p w14:paraId="0D84B9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2F807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E2D2E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3854F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w:t>
      </w:r>
      <w:r>
        <w:rPr>
          <w:rFonts w:hint="eastAsia" w:asciiTheme="minorEastAsia" w:hAnsiTheme="minorEastAsia" w:eastAsiaTheme="minorEastAsia"/>
          <w:color w:val="auto"/>
          <w:sz w:val="24"/>
          <w:highlight w:val="none"/>
          <w:lang w:val="en-US" w:eastAsia="zh-CN"/>
        </w:rPr>
        <w:t>低于</w:t>
      </w:r>
      <w:r>
        <w:rPr>
          <w:rFonts w:asciiTheme="minorEastAsia" w:hAnsiTheme="minorEastAsia" w:eastAsiaTheme="minorEastAsia"/>
          <w:color w:val="auto"/>
          <w:sz w:val="24"/>
          <w:highlight w:val="none"/>
        </w:rPr>
        <w:t>招标文件中规定的限价的；</w:t>
      </w:r>
    </w:p>
    <w:p w14:paraId="674CDB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CB531C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6D6C6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FECBB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7FE8A2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11CEA0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D8099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E8B70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3CFDD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9979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A0E79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B020B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w:t>
      </w:r>
      <w:r>
        <w:rPr>
          <w:rFonts w:hint="eastAsia" w:ascii="宋体" w:hAnsi="宋体" w:eastAsia="宋体"/>
          <w:color w:val="auto"/>
          <w:sz w:val="24"/>
          <w:highlight w:val="none"/>
          <w:lang w:val="en-US" w:eastAsia="zh-CN"/>
        </w:rPr>
        <w:t>低于</w:t>
      </w:r>
      <w:r>
        <w:rPr>
          <w:rFonts w:hint="eastAsia" w:ascii="宋体" w:hAnsi="宋体" w:eastAsia="宋体"/>
          <w:color w:val="auto"/>
          <w:sz w:val="24"/>
          <w:highlight w:val="none"/>
        </w:rPr>
        <w:t>采购</w:t>
      </w:r>
      <w:r>
        <w:rPr>
          <w:rFonts w:hint="eastAsia" w:ascii="宋体" w:hAnsi="宋体" w:eastAsia="宋体"/>
          <w:color w:val="auto"/>
          <w:sz w:val="24"/>
          <w:highlight w:val="none"/>
          <w:lang w:val="en-US" w:eastAsia="zh-CN"/>
        </w:rPr>
        <w:t>限价</w:t>
      </w:r>
      <w:r>
        <w:rPr>
          <w:rFonts w:hint="eastAsia" w:ascii="宋体" w:hAnsi="宋体" w:eastAsia="宋体"/>
          <w:color w:val="auto"/>
          <w:sz w:val="24"/>
          <w:highlight w:val="none"/>
        </w:rPr>
        <w:t>，采购人不能支付的；</w:t>
      </w:r>
    </w:p>
    <w:p w14:paraId="599F42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3D78E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3BD43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F4C7C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r>
        <w:rPr>
          <w:rFonts w:hint="eastAsia" w:asciiTheme="minorEastAsia" w:hAnsiTheme="minorEastAsia" w:eastAsiaTheme="minorEastAsia"/>
          <w:color w:val="auto"/>
          <w:sz w:val="24"/>
          <w:highlight w:val="none"/>
          <w:lang w:eastAsia="zh-CN"/>
        </w:rPr>
        <w:t>；</w:t>
      </w:r>
    </w:p>
    <w:p w14:paraId="5485241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eastAsia="zh-CN"/>
        </w:rPr>
        <w:t>公开招标的货物、服务采购项目，招标过程中经过二次挂网提交投标文件或者经评审实质性响应招标文件要求的供应商只有两家时，可转为竞争性谈判。符合本款情形的供应商最低数量可以为两家。</w:t>
      </w:r>
    </w:p>
    <w:p w14:paraId="577C96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0070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AC8F8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AC0D6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B8DD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14658E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1）采用最低评标价法的，除了算术修正需进行的价格扣除外，不对投标人的投标价格进行任何调整。评标结果按修正后的投标报价由低到高顺序排列。修正后的投标报价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74E44F3">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8EBA7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580AA9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74B3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BBC1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1087E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A75AC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BC625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289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Theme="minorEastAsia" w:hAnsiTheme="minorEastAsia" w:eastAsiaTheme="minorEastAsia"/>
          <w:color w:val="auto"/>
          <w:sz w:val="24"/>
          <w:highlight w:val="none"/>
        </w:rPr>
        <w:t>，</w:t>
      </w:r>
      <w:r>
        <w:rPr>
          <w:rFonts w:ascii="宋体" w:hAnsi="宋体" w:eastAsia="宋体"/>
          <w:color w:val="auto"/>
          <w:sz w:val="24"/>
          <w:highlight w:val="none"/>
        </w:rPr>
        <w:t>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0E5D1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BA6D1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C1273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504A6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5F9861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BC8FF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8FD914">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A1079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87DA24B">
      <w:pPr>
        <w:spacing w:line="360" w:lineRule="auto"/>
        <w:ind w:firstLine="437"/>
        <w:outlineLvl w:val="2"/>
        <w:rPr>
          <w:rFonts w:asciiTheme="minorEastAsia" w:hAnsiTheme="minorEastAsia" w:eastAsiaTheme="minorEastAsia"/>
          <w:b/>
          <w:color w:val="auto"/>
          <w:sz w:val="24"/>
          <w:highlight w:val="none"/>
        </w:rPr>
      </w:pPr>
      <w:bookmarkStart w:id="37" w:name="_Toc518923100"/>
      <w:bookmarkStart w:id="38"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7"/>
      <w:bookmarkEnd w:id="38"/>
    </w:p>
    <w:p w14:paraId="4F9EC1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95EDB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BCA439D">
      <w:pPr>
        <w:spacing w:line="360" w:lineRule="auto"/>
        <w:ind w:firstLine="437"/>
        <w:outlineLvl w:val="2"/>
        <w:rPr>
          <w:rFonts w:asciiTheme="minorEastAsia" w:hAnsiTheme="minorEastAsia" w:eastAsiaTheme="minorEastAsia"/>
          <w:b/>
          <w:color w:val="auto"/>
          <w:sz w:val="24"/>
          <w:highlight w:val="none"/>
        </w:rPr>
      </w:pPr>
      <w:bookmarkStart w:id="39" w:name="_Toc2583662"/>
      <w:bookmarkStart w:id="40"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9"/>
      <w:bookmarkEnd w:id="40"/>
    </w:p>
    <w:p w14:paraId="078ED9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C5F18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A8B756C">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F15E1D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00C0CF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7CC415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F56975D">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41" w:name="_Toc22605"/>
      <w:r>
        <w:rPr>
          <w:rFonts w:hint="eastAsia" w:asciiTheme="minorEastAsia" w:hAnsiTheme="minorEastAsia" w:eastAsiaTheme="minorEastAsia"/>
          <w:b/>
          <w:color w:val="auto"/>
          <w:sz w:val="28"/>
          <w:highlight w:val="none"/>
        </w:rPr>
        <w:t>采购需求</w:t>
      </w:r>
      <w:bookmarkEnd w:id="41"/>
    </w:p>
    <w:p w14:paraId="04C4E1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2" w:name="_Toc4148"/>
      <w:bookmarkStart w:id="43" w:name="_Toc21798"/>
      <w:bookmarkStart w:id="44" w:name="_Hlk23621890"/>
      <w:r>
        <w:rPr>
          <w:rFonts w:hint="eastAsia" w:ascii="宋体" w:hAnsi="宋体" w:eastAsia="宋体" w:cs="@仿宋_GB2312"/>
          <w:b/>
          <w:bCs w:val="0"/>
          <w:color w:val="auto"/>
          <w:kern w:val="2"/>
          <w:sz w:val="24"/>
          <w:szCs w:val="18"/>
          <w:highlight w:val="none"/>
          <w:lang w:val="en-US" w:eastAsia="zh-CN" w:bidi="ar-SA"/>
        </w:rPr>
        <w:t>一、采购需求前附表</w:t>
      </w:r>
      <w:bookmarkEnd w:id="42"/>
      <w:bookmarkEnd w:id="43"/>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84"/>
        <w:gridCol w:w="6330"/>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05142892">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812" w:type="pct"/>
            <w:vAlign w:val="center"/>
          </w:tcPr>
          <w:p w14:paraId="3383168B">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713" w:type="pct"/>
            <w:vAlign w:val="center"/>
          </w:tcPr>
          <w:p w14:paraId="58F59389">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33BE52A7">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812" w:type="pct"/>
            <w:vAlign w:val="center"/>
          </w:tcPr>
          <w:p w14:paraId="1BFE8AAF">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713" w:type="pct"/>
            <w:vAlign w:val="center"/>
          </w:tcPr>
          <w:p w14:paraId="3DC12E77">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default" w:ascii="宋体" w:hAnsi="宋体" w:eastAsia="宋体"/>
                <w:b w:val="0"/>
                <w:color w:val="auto"/>
                <w:sz w:val="24"/>
                <w:highlight w:val="none"/>
              </w:rPr>
              <w:t>1</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按照安徽省发改委及卫健委、医保局发布的数字医疗及3D打印相关收费目录，依据本院当月实际使用量按月对账据实结算，结算总价=∑结算单价×实际服务数量</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其中</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结算单价=医院收费基准×（1-折扣率）</w:t>
            </w:r>
            <w:r>
              <w:rPr>
                <w:rFonts w:hint="eastAsia" w:ascii="宋体" w:hAnsi="宋体" w:eastAsia="宋体"/>
                <w:b w:val="0"/>
                <w:color w:val="auto"/>
                <w:sz w:val="24"/>
                <w:highlight w:val="none"/>
                <w:lang w:eastAsia="zh-CN"/>
              </w:rPr>
              <w:t>】。</w:t>
            </w:r>
          </w:p>
          <w:p w14:paraId="4147C188">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default" w:ascii="宋体" w:hAnsi="宋体" w:eastAsia="宋体"/>
                <w:b w:val="0"/>
                <w:color w:val="auto"/>
                <w:sz w:val="24"/>
                <w:highlight w:val="none"/>
              </w:rPr>
              <w:t>2</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供应商每月10日（节假日顺延）提供相关付款资料，经采购人审核无误后，对于满足合同支付条件的，采购人原则上于30个工作日内支付。</w:t>
            </w:r>
          </w:p>
          <w:p w14:paraId="67279D4B">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default" w:ascii="宋体" w:hAnsi="宋体" w:eastAsia="宋体"/>
                <w:b w:val="0"/>
                <w:color w:val="auto"/>
                <w:sz w:val="24"/>
                <w:highlight w:val="none"/>
              </w:rPr>
              <w:t>3</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按合同支付款项前，中标供应商必须先向采购人提供与支付金额相符的有效发票，且收款方、出具发票方、合同乙方均必须与中标供应商名称一致；</w:t>
            </w:r>
          </w:p>
          <w:p w14:paraId="7F92FB8F">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4</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在医院收费目录根据有关规定进行变更后，中标供应商需自行承担价格调整风险</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合同期内折扣率不予调整</w:t>
            </w:r>
            <w:r>
              <w:rPr>
                <w:rFonts w:hint="eastAsia" w:ascii="宋体" w:hAnsi="宋体" w:eastAsia="宋体"/>
                <w:b w:val="0"/>
                <w:color w:val="auto"/>
                <w:sz w:val="24"/>
                <w:highlight w:val="none"/>
              </w:rPr>
              <w:t>。</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49EC416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812" w:type="pct"/>
            <w:vAlign w:val="center"/>
          </w:tcPr>
          <w:p w14:paraId="1C182C68">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713" w:type="pct"/>
            <w:vAlign w:val="center"/>
          </w:tcPr>
          <w:p w14:paraId="3F86AE39">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滁州市第一人民医院（采购人指定地点）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527C3119">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812" w:type="pct"/>
            <w:vAlign w:val="center"/>
          </w:tcPr>
          <w:p w14:paraId="616F3567">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713" w:type="pct"/>
            <w:vAlign w:val="center"/>
          </w:tcPr>
          <w:p w14:paraId="29FFFBA6">
            <w:pPr>
              <w:pStyle w:val="8"/>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b w:val="0"/>
                <w:color w:val="auto"/>
                <w:sz w:val="24"/>
                <w:highlight w:val="none"/>
                <w:lang w:eastAsia="zh-CN"/>
              </w:rPr>
            </w:pPr>
            <w:r>
              <w:rPr>
                <w:rFonts w:hint="eastAsia" w:ascii="宋体" w:hAnsi="宋体" w:eastAsia="宋体" w:cs="宋体"/>
                <w:color w:val="auto"/>
                <w:sz w:val="24"/>
                <w:szCs w:val="24"/>
                <w:highlight w:val="none"/>
                <w:lang w:val="en-US" w:eastAsia="zh-CN" w:bidi="ar"/>
              </w:rPr>
              <w:t>叁年(1+1+1模式)，合同一年一签，</w:t>
            </w:r>
            <w:r>
              <w:rPr>
                <w:rFonts w:hint="default" w:ascii="宋体" w:hAnsi="宋体" w:eastAsia="宋体" w:cs="宋体"/>
                <w:color w:val="auto"/>
                <w:sz w:val="24"/>
                <w:szCs w:val="24"/>
                <w:highlight w:val="none"/>
                <w:lang w:val="en-US" w:eastAsia="zh-CN" w:bidi="ar"/>
              </w:rPr>
              <w:t>合同年度执行周期内，以年度服务期限届满或年度</w:t>
            </w:r>
            <w:r>
              <w:rPr>
                <w:rFonts w:hint="eastAsia" w:ascii="宋体" w:hAnsi="宋体" w:eastAsia="宋体" w:cs="宋体"/>
                <w:color w:val="auto"/>
                <w:sz w:val="24"/>
                <w:szCs w:val="24"/>
                <w:highlight w:val="none"/>
                <w:lang w:val="en-US" w:eastAsia="zh-CN" w:bidi="ar"/>
              </w:rPr>
              <w:t>销售达到</w:t>
            </w:r>
            <w:r>
              <w:rPr>
                <w:rFonts w:hint="default" w:ascii="宋体" w:hAnsi="宋体" w:eastAsia="宋体" w:cs="宋体"/>
                <w:color w:val="auto"/>
                <w:sz w:val="24"/>
                <w:szCs w:val="24"/>
                <w:highlight w:val="none"/>
                <w:lang w:val="en-US" w:eastAsia="zh-CN" w:bidi="ar"/>
              </w:rPr>
              <w:t>40万元二者先到者，作为本合同当年服务周期终止节点</w:t>
            </w:r>
            <w:r>
              <w:rPr>
                <w:rFonts w:hint="eastAsia" w:ascii="宋体" w:hAnsi="宋体" w:eastAsia="宋体" w:cs="宋体"/>
                <w:color w:val="auto"/>
                <w:sz w:val="24"/>
                <w:szCs w:val="24"/>
                <w:highlight w:val="none"/>
                <w:lang w:val="en-US" w:eastAsia="zh-CN" w:bidi="ar"/>
              </w:rPr>
              <w:t>。</w:t>
            </w:r>
          </w:p>
        </w:tc>
      </w:tr>
    </w:tbl>
    <w:p w14:paraId="44B8D3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5" w:name="_Toc16543"/>
      <w:bookmarkStart w:id="46" w:name="_Toc8753"/>
      <w:bookmarkStart w:id="47" w:name="_Hlk16461016"/>
      <w:r>
        <w:rPr>
          <w:rFonts w:hint="eastAsia" w:ascii="宋体" w:hAnsi="宋体" w:eastAsia="宋体" w:cs="@仿宋_GB2312"/>
          <w:b/>
          <w:bCs w:val="0"/>
          <w:color w:val="auto"/>
          <w:kern w:val="2"/>
          <w:sz w:val="24"/>
          <w:szCs w:val="18"/>
          <w:highlight w:val="none"/>
          <w:lang w:val="en-US" w:eastAsia="zh-CN" w:bidi="ar-SA"/>
        </w:rPr>
        <w:t>二、</w:t>
      </w:r>
      <w:bookmarkEnd w:id="45"/>
      <w:bookmarkEnd w:id="46"/>
      <w:r>
        <w:rPr>
          <w:rFonts w:hint="eastAsia" w:ascii="宋体" w:hAnsi="宋体" w:eastAsia="宋体" w:cs="@仿宋_GB2312"/>
          <w:b/>
          <w:bCs w:val="0"/>
          <w:color w:val="auto"/>
          <w:kern w:val="2"/>
          <w:sz w:val="24"/>
          <w:szCs w:val="18"/>
          <w:highlight w:val="none"/>
          <w:lang w:val="en-US" w:eastAsia="zh-CN" w:bidi="ar-SA"/>
        </w:rPr>
        <w:t>项目概述</w:t>
      </w:r>
    </w:p>
    <w:p w14:paraId="7DD49DC1">
      <w:pPr>
        <w:pStyle w:val="3"/>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近年来数字医疗技术与医学，通过跨学科创新应用实现了“医工结合”交叉创新，取得众多临床科研创新成果。此项目有助于提高患者满意度，能更好地提升医疗水平及学术水平，为此，我院拟选择一家具有丰富行业经验的供应商提供个体数字医疗技术服务，服务内容包括：包括三维可视化重建、混合现实技术、参数化手术规划设计、3D打印模型制作、术中工具设计与制作、术后康复辅具设计及制作以及3D打印科研相关技术支持等。</w:t>
      </w:r>
    </w:p>
    <w:p w14:paraId="5B0304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8" w:name="_Toc13016"/>
      <w:bookmarkStart w:id="49" w:name="_Toc27920"/>
      <w:r>
        <w:rPr>
          <w:rFonts w:hint="eastAsia" w:ascii="宋体" w:hAnsi="宋体" w:eastAsia="宋体" w:cs="@仿宋_GB2312"/>
          <w:b/>
          <w:bCs w:val="0"/>
          <w:color w:val="auto"/>
          <w:kern w:val="2"/>
          <w:sz w:val="24"/>
          <w:szCs w:val="18"/>
          <w:highlight w:val="none"/>
          <w:lang w:val="en-US" w:eastAsia="zh-CN" w:bidi="ar-SA"/>
        </w:rPr>
        <w:t>三、</w:t>
      </w:r>
      <w:bookmarkEnd w:id="48"/>
      <w:bookmarkEnd w:id="49"/>
      <w:bookmarkStart w:id="50" w:name="_Toc16414"/>
      <w:bookmarkStart w:id="51" w:name="_Toc20717"/>
      <w:r>
        <w:rPr>
          <w:rFonts w:hint="eastAsia" w:ascii="宋体" w:hAnsi="宋体" w:eastAsia="宋体" w:cs="@仿宋_GB2312"/>
          <w:b/>
          <w:bCs w:val="0"/>
          <w:color w:val="auto"/>
          <w:kern w:val="2"/>
          <w:sz w:val="24"/>
          <w:szCs w:val="18"/>
          <w:highlight w:val="none"/>
          <w:lang w:val="en-US" w:eastAsia="zh-CN" w:bidi="ar-SA"/>
        </w:rPr>
        <w:t>服务需求</w:t>
      </w:r>
    </w:p>
    <w:bookmarkEnd w:id="44"/>
    <w:bookmarkEnd w:id="47"/>
    <w:bookmarkEnd w:id="50"/>
    <w:bookmarkEnd w:id="51"/>
    <w:p w14:paraId="03CC2FEB">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bookmarkStart w:id="52" w:name="_Toc32104"/>
      <w:bookmarkStart w:id="53" w:name="_Toc15252"/>
      <w:r>
        <w:rPr>
          <w:rFonts w:hint="eastAsia" w:ascii="宋体" w:hAnsi="宋体" w:eastAsia="宋体" w:cs="宋体"/>
          <w:b/>
          <w:color w:val="auto"/>
          <w:kern w:val="2"/>
          <w:sz w:val="24"/>
          <w:szCs w:val="24"/>
          <w:highlight w:val="none"/>
          <w:lang w:bidi="ar-SA"/>
        </w:rPr>
        <w:t>1.1</w:t>
      </w:r>
      <w:r>
        <w:rPr>
          <w:rFonts w:hint="eastAsia" w:ascii="宋体" w:hAnsi="宋体" w:eastAsia="宋体" w:cs="宋体"/>
          <w:b/>
          <w:color w:val="auto"/>
          <w:sz w:val="24"/>
          <w:szCs w:val="24"/>
          <w:highlight w:val="none"/>
        </w:rPr>
        <w:t>技术展示</w:t>
      </w:r>
    </w:p>
    <w:p w14:paraId="03B549AC">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lang w:bidi="ar-SA"/>
        </w:rPr>
        <w:t>（1）</w:t>
      </w:r>
      <w:r>
        <w:rPr>
          <w:rFonts w:hint="eastAsia" w:ascii="宋体" w:hAnsi="宋体" w:eastAsia="宋体" w:cs="宋体"/>
          <w:color w:val="auto"/>
          <w:sz w:val="24"/>
          <w:szCs w:val="24"/>
          <w:highlight w:val="none"/>
        </w:rPr>
        <w:t>术前技术服务</w:t>
      </w:r>
    </w:p>
    <w:p w14:paraId="67196955">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提供三维可视化重建服务，直观的呈现患者病灶部位与周围组织之间关系，优化临床手术方案；</w:t>
      </w:r>
    </w:p>
    <w:p w14:paraId="3EEB287E">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提供参数化手术规划服务，将手术方案进行量化，分解为精准的手术步骤，降低手术风险，提高手术效率；</w:t>
      </w:r>
    </w:p>
    <w:p w14:paraId="195ADE5A">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提供3D打印手术模型服务，模型上标注手术方案信息，模型材质涵盖各类软硬性材料。</w:t>
      </w:r>
    </w:p>
    <w:p w14:paraId="5E986954">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lang w:bidi="ar-SA"/>
        </w:rPr>
        <w:t>（2）</w:t>
      </w:r>
      <w:r>
        <w:rPr>
          <w:rFonts w:hint="eastAsia" w:ascii="宋体" w:hAnsi="宋体" w:eastAsia="宋体" w:cs="宋体"/>
          <w:color w:val="auto"/>
          <w:sz w:val="24"/>
          <w:szCs w:val="24"/>
          <w:highlight w:val="none"/>
        </w:rPr>
        <w:t>术中技术服务</w:t>
      </w:r>
    </w:p>
    <w:p w14:paraId="04BDD78F">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提供定制手术工具开发服务；</w:t>
      </w:r>
    </w:p>
    <w:p w14:paraId="0A38329D">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提供个性化定制假体设计服务。</w:t>
      </w:r>
    </w:p>
    <w:p w14:paraId="5A10B3CD">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lang w:bidi="ar-SA"/>
        </w:rPr>
        <w:t>（3）</w:t>
      </w:r>
      <w:r>
        <w:rPr>
          <w:rFonts w:hint="eastAsia" w:ascii="宋体" w:hAnsi="宋体" w:eastAsia="宋体" w:cs="宋体"/>
          <w:color w:val="auto"/>
          <w:sz w:val="24"/>
          <w:szCs w:val="24"/>
          <w:highlight w:val="none"/>
        </w:rPr>
        <w:t>术后技术服务</w:t>
      </w:r>
    </w:p>
    <w:p w14:paraId="167F1C87">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提供3D打印术后康复辅具定制服务；</w:t>
      </w:r>
    </w:p>
    <w:p w14:paraId="328C5171">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0" w:firstLineChars="200"/>
        <w:textAlignment w:val="auto"/>
        <w:rPr>
          <w:rFonts w:hint="eastAsia" w:ascii="宋体" w:hAnsi="宋体" w:eastAsia="宋体" w:cs="宋体"/>
          <w:b w:val="0"/>
          <w:strike w:val="0"/>
          <w:dstrike w:val="0"/>
          <w:color w:val="auto"/>
          <w:sz w:val="24"/>
          <w:szCs w:val="24"/>
          <w:highlight w:val="none"/>
        </w:rPr>
      </w:pPr>
      <w:r>
        <w:rPr>
          <w:rFonts w:hint="eastAsia" w:ascii="宋体" w:hAnsi="宋体" w:eastAsia="宋体" w:cs="宋体"/>
          <w:b w:val="0"/>
          <w:strike w:val="0"/>
          <w:dstrike w:val="0"/>
          <w:color w:val="auto"/>
          <w:kern w:val="2"/>
          <w:sz w:val="24"/>
          <w:szCs w:val="24"/>
          <w:highlight w:val="none"/>
          <w:lang w:bidi="ar-SA"/>
        </w:rPr>
        <w:t>（4）</w:t>
      </w:r>
      <w:r>
        <w:rPr>
          <w:rFonts w:hint="eastAsia" w:ascii="宋体" w:hAnsi="宋体" w:eastAsia="宋体" w:cs="宋体"/>
          <w:strike w:val="0"/>
          <w:dstrike w:val="0"/>
          <w:color w:val="auto"/>
          <w:sz w:val="24"/>
          <w:szCs w:val="24"/>
          <w:highlight w:val="none"/>
        </w:rPr>
        <w:t>非手术治疗技术服务</w:t>
      </w:r>
    </w:p>
    <w:p w14:paraId="3189A592">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strike w:val="0"/>
          <w:dstrike w:val="0"/>
          <w:color w:val="auto"/>
          <w:sz w:val="24"/>
          <w:szCs w:val="24"/>
          <w:highlight w:val="none"/>
        </w:rPr>
      </w:pPr>
      <w:r>
        <w:rPr>
          <w:rFonts w:hint="eastAsia" w:ascii="宋体" w:hAnsi="宋体" w:eastAsia="宋体" w:cs="宋体"/>
          <w:b w:val="0"/>
          <w:strike w:val="0"/>
          <w:dstrike w:val="0"/>
          <w:color w:val="auto"/>
          <w:sz w:val="24"/>
          <w:szCs w:val="24"/>
          <w:highlight w:val="none"/>
        </w:rPr>
        <w:t>提供3D打印个性化定制矫形器，如脊柱侧弯矫形器，矫形鞋垫及其他常用场景应用矫形器等。</w:t>
      </w:r>
    </w:p>
    <w:p w14:paraId="4952C89C">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1.2</w:t>
      </w:r>
      <w:r>
        <w:rPr>
          <w:rFonts w:hint="eastAsia" w:ascii="宋体" w:hAnsi="宋体" w:eastAsia="宋体" w:cs="宋体"/>
          <w:b/>
          <w:color w:val="auto"/>
          <w:sz w:val="24"/>
          <w:szCs w:val="24"/>
          <w:highlight w:val="none"/>
        </w:rPr>
        <w:t>人员安排</w:t>
      </w:r>
    </w:p>
    <w:p w14:paraId="5857F424">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有专业技术团队，安排专职人员负责与医院的业务配合工作。</w:t>
      </w:r>
    </w:p>
    <w:p w14:paraId="1F987928">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1.3</w:t>
      </w:r>
      <w:r>
        <w:rPr>
          <w:rFonts w:hint="eastAsia" w:ascii="宋体" w:hAnsi="宋体" w:eastAsia="宋体" w:cs="宋体"/>
          <w:b/>
          <w:color w:val="auto"/>
          <w:sz w:val="24"/>
          <w:szCs w:val="24"/>
          <w:highlight w:val="none"/>
        </w:rPr>
        <w:t>技术培训</w:t>
      </w:r>
    </w:p>
    <w:p w14:paraId="2B461751">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为促进3D打印相关技术在临床的应用，投标公司应根据行业发展，以及临床科室需要定期对我院相关人员进行3D打印相关知识和技能的培训，并组织医疗领域3D打印行业交流活动，</w:t>
      </w:r>
      <w:r>
        <w:rPr>
          <w:rFonts w:hint="eastAsia" w:ascii="宋体" w:hAnsi="宋体" w:eastAsia="宋体" w:cs="宋体"/>
          <w:b/>
          <w:bCs/>
          <w:color w:val="auto"/>
          <w:sz w:val="24"/>
          <w:szCs w:val="24"/>
          <w:highlight w:val="none"/>
        </w:rPr>
        <w:t>须提供一份以往在公立医院进行3D打印技术或临床应用案例分享的照片证明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投标时提供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w:t>
      </w:r>
    </w:p>
    <w:p w14:paraId="7809638A">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1.4</w:t>
      </w:r>
      <w:r>
        <w:rPr>
          <w:rFonts w:hint="eastAsia" w:ascii="宋体" w:hAnsi="宋体" w:eastAsia="宋体" w:cs="宋体"/>
          <w:b/>
          <w:color w:val="auto"/>
          <w:sz w:val="24"/>
          <w:szCs w:val="24"/>
          <w:highlight w:val="none"/>
        </w:rPr>
        <w:t>科研</w:t>
      </w:r>
      <w:r>
        <w:rPr>
          <w:rFonts w:hint="eastAsia" w:ascii="宋体" w:hAnsi="宋体" w:eastAsia="宋体" w:cs="宋体"/>
          <w:b/>
          <w:color w:val="auto"/>
          <w:sz w:val="24"/>
          <w:szCs w:val="24"/>
          <w:highlight w:val="none"/>
          <w:lang w:val="en-US" w:eastAsia="zh-CN"/>
        </w:rPr>
        <w:t>实力</w:t>
      </w:r>
    </w:p>
    <w:p w14:paraId="55935FDB">
      <w:pPr>
        <w:pStyle w:val="8"/>
        <w:keepNext w:val="0"/>
        <w:keepLines w:val="0"/>
        <w:pageBreakBefore w:val="0"/>
        <w:kinsoku/>
        <w:wordWrap/>
        <w:overflowPunct/>
        <w:topLinePunct w:val="0"/>
        <w:autoSpaceDE/>
        <w:autoSpaceDN/>
        <w:bidi w:val="0"/>
        <w:snapToGrid/>
        <w:spacing w:before="0" w:after="0" w:afterLines="0" w:line="500" w:lineRule="exact"/>
        <w:ind w:lef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投标人需具备3D打印相关科研项目经验，合作期内需协助医院完成至少3个3D打印相关科研项目的专利申请，投标时提供承诺函加盖投标人公章，承诺函格式自拟。</w:t>
      </w:r>
    </w:p>
    <w:p w14:paraId="06661A34">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1.5</w:t>
      </w:r>
      <w:r>
        <w:rPr>
          <w:rFonts w:hint="eastAsia" w:ascii="宋体" w:hAnsi="宋体" w:eastAsia="宋体" w:cs="宋体"/>
          <w:b/>
          <w:color w:val="auto"/>
          <w:sz w:val="24"/>
          <w:szCs w:val="24"/>
          <w:highlight w:val="none"/>
        </w:rPr>
        <w:t>医学影像建模软件功能要求</w:t>
      </w:r>
    </w:p>
    <w:p w14:paraId="5E6494D9">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软件功能具有可以导入符合DICOM标准的CT/MRI医学图像数据序列，支持CT/MRI多模态图像自动配准融合，能够处理当前所有主流医学影像设备输出的数据。支持的模型数据格式包括STL/OBJ/PLY等主流CAD/CAE软件输出的网格数据类型，可以将重建的网格数据导出为STL数据格式，支持逆向打印。软件支持任意视图的自动截图功能，并可以将截图数据保存为多种数据格式，支持截图格式包括JPG/BMP等图像格式。</w:t>
      </w:r>
    </w:p>
    <w:p w14:paraId="148F8D5E">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1.6</w:t>
      </w:r>
      <w:r>
        <w:rPr>
          <w:rFonts w:hint="eastAsia" w:ascii="宋体" w:hAnsi="宋体" w:eastAsia="宋体" w:cs="宋体"/>
          <w:b/>
          <w:color w:val="auto"/>
          <w:kern w:val="2"/>
          <w:sz w:val="24"/>
          <w:szCs w:val="24"/>
          <w:highlight w:val="none"/>
          <w:lang w:val="en-US" w:eastAsia="zh-CN" w:bidi="ar-SA"/>
        </w:rPr>
        <w:t>投标时</w:t>
      </w:r>
      <w:r>
        <w:rPr>
          <w:rFonts w:hint="eastAsia" w:ascii="宋体" w:hAnsi="宋体" w:eastAsia="宋体" w:cs="宋体"/>
          <w:b/>
          <w:color w:val="auto"/>
          <w:sz w:val="24"/>
          <w:szCs w:val="24"/>
          <w:highlight w:val="none"/>
        </w:rPr>
        <w:t>提供</w:t>
      </w:r>
      <w:r>
        <w:rPr>
          <w:rFonts w:hint="eastAsia" w:ascii="宋体" w:hAnsi="宋体" w:eastAsia="宋体" w:cs="宋体"/>
          <w:b/>
          <w:color w:val="auto"/>
          <w:sz w:val="24"/>
          <w:szCs w:val="24"/>
          <w:highlight w:val="none"/>
          <w:lang w:val="en-US" w:eastAsia="zh-CN"/>
        </w:rPr>
        <w:t>初步的</w:t>
      </w:r>
      <w:r>
        <w:rPr>
          <w:rFonts w:hint="eastAsia" w:ascii="宋体" w:hAnsi="宋体" w:eastAsia="宋体" w:cs="宋体"/>
          <w:b/>
          <w:color w:val="auto"/>
          <w:sz w:val="24"/>
          <w:szCs w:val="24"/>
          <w:highlight w:val="none"/>
        </w:rPr>
        <w:t>3D打印</w:t>
      </w:r>
      <w:r>
        <w:rPr>
          <w:rFonts w:hint="eastAsia" w:ascii="宋体" w:hAnsi="宋体" w:eastAsia="宋体" w:cs="宋体"/>
          <w:b/>
          <w:color w:val="auto"/>
          <w:sz w:val="24"/>
          <w:szCs w:val="24"/>
          <w:highlight w:val="none"/>
          <w:lang w:val="en-US" w:eastAsia="zh-CN"/>
        </w:rPr>
        <w:t>平台</w:t>
      </w:r>
      <w:r>
        <w:rPr>
          <w:rFonts w:hint="eastAsia" w:ascii="宋体" w:hAnsi="宋体" w:eastAsia="宋体" w:cs="宋体"/>
          <w:b/>
          <w:color w:val="auto"/>
          <w:sz w:val="24"/>
          <w:szCs w:val="24"/>
          <w:highlight w:val="none"/>
        </w:rPr>
        <w:t>场地实施规划和</w:t>
      </w:r>
      <w:r>
        <w:rPr>
          <w:rFonts w:hint="eastAsia" w:ascii="宋体" w:hAnsi="宋体" w:eastAsia="宋体" w:cs="宋体"/>
          <w:b/>
          <w:color w:val="auto"/>
          <w:sz w:val="24"/>
          <w:szCs w:val="24"/>
          <w:highlight w:val="none"/>
          <w:lang w:val="en-US" w:eastAsia="zh-CN"/>
        </w:rPr>
        <w:t>工作室</w:t>
      </w:r>
      <w:r>
        <w:rPr>
          <w:rFonts w:hint="eastAsia" w:ascii="宋体" w:hAnsi="宋体" w:eastAsia="宋体" w:cs="宋体"/>
          <w:b/>
          <w:color w:val="auto"/>
          <w:sz w:val="24"/>
          <w:szCs w:val="24"/>
          <w:highlight w:val="none"/>
        </w:rPr>
        <w:t>运营管理方案</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运营相关手续由中标人及时完善。</w:t>
      </w:r>
    </w:p>
    <w:p w14:paraId="7E7CAD67">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w:t>
      </w:r>
      <w:r>
        <w:rPr>
          <w:rFonts w:hint="eastAsia" w:ascii="宋体" w:hAnsi="宋体" w:eastAsia="宋体" w:cs="宋体"/>
          <w:b/>
          <w:color w:val="auto"/>
          <w:kern w:val="2"/>
          <w:sz w:val="24"/>
          <w:szCs w:val="24"/>
          <w:highlight w:val="none"/>
          <w:lang w:val="en-US" w:eastAsia="zh-CN" w:bidi="ar-SA"/>
        </w:rPr>
        <w:t>7</w:t>
      </w:r>
      <w:r>
        <w:rPr>
          <w:rFonts w:hint="eastAsia" w:ascii="宋体" w:hAnsi="宋体" w:eastAsia="宋体" w:cs="宋体"/>
          <w:b/>
          <w:color w:val="auto"/>
          <w:sz w:val="24"/>
          <w:szCs w:val="24"/>
          <w:highlight w:val="none"/>
          <w:lang w:val="en-US" w:eastAsia="zh-CN"/>
        </w:rPr>
        <w:t>服务期间内，随医院临床服务规模变化，投标人需同步配合医院按需增加服务人员，投标时提供承诺函加盖投标人公章，承诺函格式自拟。</w:t>
      </w:r>
    </w:p>
    <w:p w14:paraId="30C19F2C">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w:t>
      </w:r>
      <w:r>
        <w:rPr>
          <w:rFonts w:hint="eastAsia" w:ascii="宋体" w:hAnsi="宋体" w:eastAsia="宋体" w:cs="宋体"/>
          <w:b/>
          <w:color w:val="auto"/>
          <w:kern w:val="2"/>
          <w:sz w:val="24"/>
          <w:szCs w:val="24"/>
          <w:highlight w:val="none"/>
          <w:lang w:val="en-US" w:eastAsia="zh-CN" w:bidi="ar-SA"/>
        </w:rPr>
        <w:t>8</w:t>
      </w:r>
      <w:r>
        <w:rPr>
          <w:rFonts w:hint="eastAsia" w:ascii="宋体" w:hAnsi="宋体" w:eastAsia="宋体" w:cs="宋体"/>
          <w:b/>
          <w:color w:val="auto"/>
          <w:sz w:val="24"/>
          <w:szCs w:val="24"/>
          <w:highlight w:val="none"/>
        </w:rPr>
        <w:t>投标人进场前须单独装设独立水、电计量表，分表计量、单独核算。本项目</w:t>
      </w:r>
      <w:r>
        <w:rPr>
          <w:rFonts w:hint="eastAsia" w:ascii="宋体" w:hAnsi="宋体" w:eastAsia="宋体" w:cs="宋体"/>
          <w:b/>
          <w:color w:val="auto"/>
          <w:sz w:val="24"/>
          <w:szCs w:val="24"/>
          <w:highlight w:val="none"/>
          <w:lang w:val="en-US" w:eastAsia="zh-CN"/>
        </w:rPr>
        <w:t>合作</w:t>
      </w:r>
      <w:r>
        <w:rPr>
          <w:rFonts w:hint="eastAsia" w:ascii="宋体" w:hAnsi="宋体" w:eastAsia="宋体" w:cs="宋体"/>
          <w:b/>
          <w:color w:val="auto"/>
          <w:sz w:val="24"/>
          <w:szCs w:val="24"/>
          <w:highlight w:val="none"/>
        </w:rPr>
        <w:t>期间发生的全部水费、电费等费用，由投标人自行承担，并按供水、供电部门规定</w:t>
      </w:r>
      <w:r>
        <w:rPr>
          <w:rFonts w:hint="eastAsia" w:ascii="宋体" w:hAnsi="宋体" w:eastAsia="宋体" w:cs="宋体"/>
          <w:b/>
          <w:color w:val="auto"/>
          <w:sz w:val="24"/>
          <w:szCs w:val="24"/>
          <w:highlight w:val="none"/>
          <w:lang w:val="en-US" w:eastAsia="zh-CN"/>
        </w:rPr>
        <w:t>单价向采购人足额缴纳</w:t>
      </w:r>
      <w:r>
        <w:rPr>
          <w:rFonts w:hint="eastAsia" w:ascii="宋体" w:hAnsi="宋体" w:eastAsia="宋体" w:cs="宋体"/>
          <w:b/>
          <w:color w:val="auto"/>
          <w:sz w:val="24"/>
          <w:szCs w:val="24"/>
          <w:highlight w:val="none"/>
          <w:lang w:eastAsia="zh-CN"/>
        </w:rPr>
        <w:t>。</w:t>
      </w:r>
    </w:p>
    <w:p w14:paraId="795C84BD">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w:t>
      </w:r>
      <w:r>
        <w:rPr>
          <w:rFonts w:hint="eastAsia" w:ascii="宋体" w:hAnsi="宋体" w:eastAsia="宋体" w:cs="宋体"/>
          <w:b/>
          <w:color w:val="auto"/>
          <w:kern w:val="2"/>
          <w:sz w:val="24"/>
          <w:szCs w:val="24"/>
          <w:highlight w:val="none"/>
          <w:lang w:val="en-US" w:eastAsia="zh-CN" w:bidi="ar-SA"/>
        </w:rPr>
        <w:t>9</w:t>
      </w:r>
      <w:r>
        <w:rPr>
          <w:rFonts w:hint="eastAsia" w:ascii="宋体" w:hAnsi="宋体" w:eastAsia="宋体" w:cs="宋体"/>
          <w:b/>
          <w:color w:val="auto"/>
          <w:sz w:val="24"/>
          <w:szCs w:val="24"/>
          <w:highlight w:val="none"/>
        </w:rPr>
        <w:t>设备配备：为满足医院需求，投标人需至少配备以下</w:t>
      </w:r>
      <w:r>
        <w:rPr>
          <w:rFonts w:hint="eastAsia" w:ascii="宋体" w:hAnsi="宋体" w:eastAsia="宋体" w:cs="宋体"/>
          <w:b/>
          <w:color w:val="auto"/>
          <w:sz w:val="24"/>
          <w:szCs w:val="24"/>
          <w:highlight w:val="none"/>
        </w:rPr>
        <w:t>3D打印设备及</w:t>
      </w:r>
      <w:r>
        <w:rPr>
          <w:rFonts w:hint="eastAsia" w:ascii="宋体" w:hAnsi="宋体" w:eastAsia="宋体" w:cs="宋体"/>
          <w:b/>
          <w:color w:val="auto"/>
          <w:sz w:val="24"/>
          <w:szCs w:val="24"/>
          <w:highlight w:val="none"/>
        </w:rPr>
        <w:t>软件</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仅在合同期内提供与服务相关的配套</w:t>
      </w:r>
      <w:r>
        <w:rPr>
          <w:rFonts w:hint="eastAsia" w:ascii="宋体" w:hAnsi="宋体" w:eastAsia="宋体" w:cs="宋体"/>
          <w:b/>
          <w:color w:val="auto"/>
          <w:sz w:val="24"/>
          <w:szCs w:val="24"/>
          <w:highlight w:val="none"/>
        </w:rPr>
        <w:t>设备</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269"/>
        <w:gridCol w:w="825"/>
        <w:gridCol w:w="5877"/>
      </w:tblGrid>
      <w:tr w14:paraId="18AC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14:paraId="19C156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9" w:type="dxa"/>
            <w:vAlign w:val="center"/>
          </w:tcPr>
          <w:p w14:paraId="29112B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设备类型</w:t>
            </w:r>
          </w:p>
        </w:tc>
        <w:tc>
          <w:tcPr>
            <w:tcW w:w="825" w:type="dxa"/>
            <w:vAlign w:val="center"/>
          </w:tcPr>
          <w:p w14:paraId="12CAB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877" w:type="dxa"/>
            <w:vAlign w:val="center"/>
          </w:tcPr>
          <w:p w14:paraId="06702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技术参数要求</w:t>
            </w:r>
          </w:p>
        </w:tc>
      </w:tr>
      <w:tr w14:paraId="1A22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551" w:type="dxa"/>
            <w:vAlign w:val="center"/>
          </w:tcPr>
          <w:p w14:paraId="36E5E6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9" w:type="dxa"/>
            <w:vAlign w:val="center"/>
          </w:tcPr>
          <w:p w14:paraId="2CC65A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SLA</w:t>
            </w:r>
            <w:r>
              <w:rPr>
                <w:rFonts w:hint="eastAsia" w:ascii="宋体" w:hAnsi="宋体" w:eastAsia="宋体" w:cs="宋体"/>
                <w:color w:val="auto"/>
                <w:sz w:val="24"/>
                <w:szCs w:val="24"/>
                <w:highlight w:val="none"/>
              </w:rPr>
              <w:t>光固化打印机</w:t>
            </w:r>
          </w:p>
        </w:tc>
        <w:tc>
          <w:tcPr>
            <w:tcW w:w="825" w:type="dxa"/>
            <w:vAlign w:val="center"/>
          </w:tcPr>
          <w:p w14:paraId="508A3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台</w:t>
            </w:r>
          </w:p>
        </w:tc>
        <w:tc>
          <w:tcPr>
            <w:tcW w:w="5877" w:type="dxa"/>
            <w:vAlign w:val="center"/>
          </w:tcPr>
          <w:p w14:paraId="6104F4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高精度、高分辨率。适用于打印复杂几何形状和精细细节。</w:t>
            </w:r>
          </w:p>
          <w:p w14:paraId="162A17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1、打印精度：重复定位精度高于等于±0.01mm；</w:t>
            </w:r>
          </w:p>
          <w:p w14:paraId="67DF5C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2、打印层厚0.05mm～0.15mm可调；</w:t>
            </w:r>
          </w:p>
          <w:p w14:paraId="7EEE61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3、成型尺寸：大于等于长500mm*宽度500mm*高度300mm。</w:t>
            </w:r>
          </w:p>
        </w:tc>
      </w:tr>
      <w:tr w14:paraId="7296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14:paraId="43F616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9" w:type="dxa"/>
            <w:vAlign w:val="center"/>
          </w:tcPr>
          <w:p w14:paraId="52C9B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混合现实系统</w:t>
            </w:r>
          </w:p>
        </w:tc>
        <w:tc>
          <w:tcPr>
            <w:tcW w:w="825" w:type="dxa"/>
            <w:vAlign w:val="center"/>
          </w:tcPr>
          <w:p w14:paraId="20D6E2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5877" w:type="dxa"/>
            <w:vAlign w:val="center"/>
          </w:tcPr>
          <w:p w14:paraId="6EC45A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包含一台混合现实显示硬件，一套混合现实处理软件。</w:t>
            </w:r>
          </w:p>
          <w:p w14:paraId="7DDE24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切换显示血管、皮肤、骨骼。支持切换显示颜色（红、绿、黄、蓝、X光、灰质）。隐藏和移动面板、隐藏和旋转线条。压扁模型。移动、旋转、重置、锁定模型。输入格式：DICOM转换的STL文件。输出格式：对STL文件进行全息三维显示。</w:t>
            </w:r>
          </w:p>
          <w:p w14:paraId="4E3A85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2、显示端加载影像：不大于50MB的影像，响应时间不超过2秒。</w:t>
            </w:r>
          </w:p>
          <w:p w14:paraId="36192E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3、控制端登录响应时间：不超过5秒。</w:t>
            </w:r>
          </w:p>
          <w:p w14:paraId="7F13CF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4、影像传输时间：不大于50MB的影像，传输时间不超过5秒。</w:t>
            </w:r>
          </w:p>
          <w:p w14:paraId="360AFE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5、控制端最大并发数：10个用户。</w:t>
            </w:r>
          </w:p>
          <w:p w14:paraId="5EDF6C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6、在最大并发数下，用户登录响应时间不超过5秒。</w:t>
            </w:r>
          </w:p>
          <w:p w14:paraId="3C570C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7、并发上传不大于50MB模型的响应时间不超过30秒。</w:t>
            </w:r>
          </w:p>
        </w:tc>
      </w:tr>
      <w:tr w14:paraId="364C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14:paraId="0FFB7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9" w:type="dxa"/>
            <w:vAlign w:val="center"/>
          </w:tcPr>
          <w:p w14:paraId="3DB5AB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医学影像建模软件</w:t>
            </w:r>
          </w:p>
        </w:tc>
        <w:tc>
          <w:tcPr>
            <w:tcW w:w="825" w:type="dxa"/>
            <w:vAlign w:val="center"/>
          </w:tcPr>
          <w:p w14:paraId="7D723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套</w:t>
            </w:r>
          </w:p>
        </w:tc>
        <w:tc>
          <w:tcPr>
            <w:tcW w:w="5877" w:type="dxa"/>
            <w:vAlign w:val="center"/>
          </w:tcPr>
          <w:p w14:paraId="223069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具有的软件可以导入符合DICOM标准的CT/MRI医学图像数据序列，支持CT/MRI多模态图像自动配准融合，能够处理当前所有主流医学影像设备输出的数据。支持的模型数据格式包括STL/OBJ/PLY等主流CAD/CAE软件输出的网格数据类型，可以将重建的网格数据导出为STL数据格式，支持逆向打印。软件支持任意视图的自动截图功能，并可以将截图数据保存为多种数据格式，支持截图格式包括JPG/BMP等图像格式。</w:t>
            </w:r>
          </w:p>
        </w:tc>
      </w:tr>
      <w:bookmarkEnd w:id="52"/>
      <w:bookmarkEnd w:id="53"/>
    </w:tbl>
    <w:p w14:paraId="5E2D6296">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2.0售后服务要求</w:t>
      </w:r>
    </w:p>
    <w:p w14:paraId="73CC8570">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1、提供7×24小时建模、打印服务，3D可视化模型重建、3D模型打印的交货时间为24小时内。</w:t>
      </w:r>
    </w:p>
    <w:p w14:paraId="630C531B">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2、</w:t>
      </w:r>
      <w:r>
        <w:rPr>
          <w:rFonts w:hint="eastAsia" w:ascii="宋体" w:hAnsi="宋体" w:eastAsia="宋体" w:cs="宋体"/>
          <w:i w:val="0"/>
          <w:color w:val="auto"/>
          <w:sz w:val="24"/>
          <w:szCs w:val="24"/>
          <w:highlight w:val="none"/>
          <w:u w:val="none"/>
        </w:rPr>
        <w:t>3D打印设备以及</w:t>
      </w:r>
      <w:r>
        <w:rPr>
          <w:rFonts w:hint="eastAsia" w:ascii="宋体" w:hAnsi="宋体" w:eastAsia="宋体" w:cs="宋体"/>
          <w:i w:val="0"/>
          <w:color w:val="auto"/>
          <w:sz w:val="24"/>
          <w:szCs w:val="24"/>
          <w:highlight w:val="none"/>
          <w:u w:val="none"/>
        </w:rPr>
        <w:t>软件系统由投标人提供，投标人派遣技术人员负责</w:t>
      </w:r>
      <w:r>
        <w:rPr>
          <w:rFonts w:hint="eastAsia" w:ascii="宋体" w:hAnsi="宋体" w:eastAsia="宋体" w:cs="宋体"/>
          <w:i w:val="0"/>
          <w:strike w:val="0"/>
          <w:dstrike w:val="0"/>
          <w:color w:val="auto"/>
          <w:sz w:val="24"/>
          <w:szCs w:val="24"/>
          <w:highlight w:val="none"/>
          <w:u w:val="none"/>
        </w:rPr>
        <w:t>设备操作和</w:t>
      </w:r>
      <w:r>
        <w:rPr>
          <w:rFonts w:hint="eastAsia" w:ascii="宋体" w:hAnsi="宋体" w:eastAsia="宋体" w:cs="宋体"/>
          <w:i w:val="0"/>
          <w:strike w:val="0"/>
          <w:dstrike w:val="0"/>
          <w:color w:val="auto"/>
          <w:sz w:val="24"/>
          <w:szCs w:val="24"/>
          <w:highlight w:val="none"/>
          <w:u w:val="none"/>
          <w:lang w:val="en-US" w:eastAsia="zh-CN"/>
        </w:rPr>
        <w:t>软件</w:t>
      </w:r>
      <w:r>
        <w:rPr>
          <w:rFonts w:hint="eastAsia" w:ascii="宋体" w:hAnsi="宋体" w:eastAsia="宋体" w:cs="宋体"/>
          <w:i w:val="0"/>
          <w:color w:val="auto"/>
          <w:sz w:val="24"/>
          <w:szCs w:val="24"/>
          <w:highlight w:val="none"/>
          <w:u w:val="none"/>
        </w:rPr>
        <w:t>日常维护，承担在合作中的相关责任，按临床提供的影像数据提供技术服务。</w:t>
      </w:r>
    </w:p>
    <w:p w14:paraId="2A1481A5">
      <w:pPr>
        <w:pStyle w:val="8"/>
        <w:numPr>
          <w:ilvl w:val="0"/>
          <w:numId w:val="0"/>
        </w:numPr>
        <w:ind w:firstLine="482"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注：投标人须严格恪守诚实守信原则，按要求提供相关资料及响应文件。项目验收阶段，我方将对相关技术参数、资质证明等内容进行真实性复核。若经核查发现存在虚假应标、提供不实材料等违规行为，我方将依据《中华人民共和国政府采购法》等相关法律法规，追究其法律责任，由此产生的一切后果由投标人自行承担。</w:t>
      </w:r>
    </w:p>
    <w:p w14:paraId="6B498DBD">
      <w:pPr>
        <w:pStyle w:val="8"/>
        <w:numPr>
          <w:ilvl w:val="0"/>
          <w:numId w:val="0"/>
        </w:numPr>
        <w:rPr>
          <w:rFonts w:hint="eastAsia" w:ascii="宋体" w:hAnsi="宋体" w:eastAsia="宋体" w:cs="宋体"/>
          <w:b w:val="0"/>
          <w:bCs/>
          <w:color w:val="auto"/>
          <w:sz w:val="24"/>
          <w:szCs w:val="24"/>
          <w:highlight w:val="none"/>
          <w:lang w:eastAsia="zh-CN"/>
        </w:rPr>
      </w:pPr>
    </w:p>
    <w:p w14:paraId="03632BEF">
      <w:pPr>
        <w:pStyle w:val="8"/>
        <w:numPr>
          <w:ilvl w:val="0"/>
          <w:numId w:val="0"/>
        </w:numPr>
        <w:rPr>
          <w:rFonts w:hint="eastAsia" w:ascii="宋体" w:hAnsi="宋体" w:eastAsia="宋体" w:cs="宋体"/>
          <w:b w:val="0"/>
          <w:bCs/>
          <w:color w:val="auto"/>
          <w:sz w:val="24"/>
          <w:szCs w:val="24"/>
          <w:highlight w:val="none"/>
          <w:lang w:eastAsia="zh-CN"/>
        </w:rPr>
      </w:pPr>
    </w:p>
    <w:p w14:paraId="052175EA">
      <w:pPr>
        <w:pStyle w:val="8"/>
        <w:numPr>
          <w:ilvl w:val="0"/>
          <w:numId w:val="0"/>
        </w:numPr>
        <w:rPr>
          <w:rFonts w:hint="eastAsia" w:ascii="宋体" w:hAnsi="宋体" w:eastAsia="宋体" w:cs="宋体"/>
          <w:b w:val="0"/>
          <w:bCs/>
          <w:color w:val="auto"/>
          <w:sz w:val="24"/>
          <w:szCs w:val="24"/>
          <w:highlight w:val="none"/>
          <w:lang w:eastAsia="zh-CN"/>
        </w:rPr>
      </w:pPr>
    </w:p>
    <w:p w14:paraId="6C041071">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32912B33">
      <w:pPr>
        <w:spacing w:line="360" w:lineRule="auto"/>
        <w:jc w:val="center"/>
        <w:outlineLvl w:val="0"/>
        <w:rPr>
          <w:rFonts w:asciiTheme="minorEastAsia" w:hAnsiTheme="minorEastAsia" w:eastAsiaTheme="minorEastAsia"/>
          <w:b/>
          <w:color w:val="auto"/>
          <w:sz w:val="28"/>
          <w:highlight w:val="none"/>
        </w:rPr>
      </w:pPr>
      <w:bookmarkStart w:id="54" w:name="_Toc30824"/>
      <w:r>
        <w:rPr>
          <w:rFonts w:hint="eastAsia" w:asciiTheme="minorEastAsia" w:hAnsiTheme="minorEastAsia" w:eastAsiaTheme="minorEastAsia"/>
          <w:b/>
          <w:color w:val="auto"/>
          <w:sz w:val="28"/>
          <w:highlight w:val="none"/>
        </w:rPr>
        <w:t>第四章  评标方法和标准（综合评分法）</w:t>
      </w:r>
      <w:bookmarkEnd w:id="54"/>
    </w:p>
    <w:p w14:paraId="6F292D88">
      <w:pPr>
        <w:spacing w:line="360" w:lineRule="auto"/>
        <w:ind w:firstLine="437"/>
        <w:outlineLvl w:val="1"/>
        <w:rPr>
          <w:rFonts w:asciiTheme="minorEastAsia" w:hAnsiTheme="minorEastAsia" w:eastAsiaTheme="minorEastAsia"/>
          <w:b/>
          <w:color w:val="auto"/>
          <w:sz w:val="24"/>
          <w:highlight w:val="none"/>
        </w:rPr>
      </w:pPr>
      <w:bookmarkStart w:id="55" w:name="_Toc4705"/>
      <w:bookmarkStart w:id="56" w:name="_Toc11823"/>
      <w:r>
        <w:rPr>
          <w:rFonts w:hint="eastAsia" w:asciiTheme="minorEastAsia" w:hAnsiTheme="minorEastAsia" w:eastAsiaTheme="minorEastAsia"/>
          <w:b/>
          <w:color w:val="auto"/>
          <w:sz w:val="24"/>
          <w:highlight w:val="none"/>
        </w:rPr>
        <w:t>一、总则</w:t>
      </w:r>
      <w:bookmarkEnd w:id="55"/>
      <w:bookmarkEnd w:id="56"/>
    </w:p>
    <w:p w14:paraId="0A2DE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40BC5EA">
      <w:pPr>
        <w:spacing w:line="360" w:lineRule="auto"/>
        <w:ind w:firstLine="437"/>
        <w:outlineLvl w:val="1"/>
        <w:rPr>
          <w:rFonts w:asciiTheme="minorEastAsia" w:hAnsiTheme="minorEastAsia" w:eastAsiaTheme="minorEastAsia"/>
          <w:b/>
          <w:color w:val="auto"/>
          <w:sz w:val="24"/>
          <w:highlight w:val="none"/>
        </w:rPr>
      </w:pPr>
      <w:bookmarkStart w:id="57" w:name="_Toc31871"/>
      <w:bookmarkStart w:id="58" w:name="_Toc32410"/>
      <w:r>
        <w:rPr>
          <w:rFonts w:hint="eastAsia" w:asciiTheme="minorEastAsia" w:hAnsiTheme="minorEastAsia" w:eastAsiaTheme="minorEastAsia"/>
          <w:b/>
          <w:color w:val="auto"/>
          <w:sz w:val="24"/>
          <w:highlight w:val="none"/>
        </w:rPr>
        <w:t>二、评标方法</w:t>
      </w:r>
      <w:bookmarkEnd w:id="57"/>
      <w:bookmarkEnd w:id="58"/>
    </w:p>
    <w:p w14:paraId="15D432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53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46"/>
        <w:gridCol w:w="4556"/>
        <w:gridCol w:w="2125"/>
      </w:tblGrid>
      <w:tr w14:paraId="1DF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61FC0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74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bottom w:val="single" w:color="auto" w:sz="4" w:space="0"/>
            </w:tcBorders>
            <w:vAlign w:val="center"/>
          </w:tcPr>
          <w:p w14:paraId="14EDEBC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03" w:type="pct"/>
            <w:tcBorders>
              <w:bottom w:val="single" w:color="auto" w:sz="4" w:space="0"/>
            </w:tcBorders>
            <w:vAlign w:val="center"/>
          </w:tcPr>
          <w:p w14:paraId="46C30534">
            <w:pPr>
              <w:pStyle w:val="3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00" w:type="pct"/>
            <w:tcBorders>
              <w:bottom w:val="single" w:color="auto" w:sz="4" w:space="0"/>
            </w:tcBorders>
            <w:vAlign w:val="center"/>
          </w:tcPr>
          <w:p w14:paraId="4C6094A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164" w:type="pct"/>
            <w:tcBorders>
              <w:bottom w:val="single" w:color="auto" w:sz="4" w:space="0"/>
            </w:tcBorders>
            <w:vAlign w:val="center"/>
          </w:tcPr>
          <w:p w14:paraId="7560C3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19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31" w:type="pct"/>
            <w:tcBorders>
              <w:bottom w:val="single" w:color="auto" w:sz="4" w:space="0"/>
            </w:tcBorders>
            <w:vAlign w:val="center"/>
          </w:tcPr>
          <w:p w14:paraId="5A66417A">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03" w:type="pct"/>
            <w:tcBorders>
              <w:bottom w:val="single" w:color="auto" w:sz="4" w:space="0"/>
            </w:tcBorders>
            <w:vAlign w:val="center"/>
          </w:tcPr>
          <w:p w14:paraId="1C0E28A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00" w:type="pct"/>
            <w:tcBorders>
              <w:bottom w:val="single" w:color="auto" w:sz="4" w:space="0"/>
            </w:tcBorders>
            <w:vAlign w:val="center"/>
          </w:tcPr>
          <w:p w14:paraId="2630CED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tc>
        <w:tc>
          <w:tcPr>
            <w:tcW w:w="1164" w:type="pct"/>
            <w:vAlign w:val="center"/>
          </w:tcPr>
          <w:p w14:paraId="68C7A87D">
            <w:pPr>
              <w:pStyle w:val="19"/>
              <w:keepNext w:val="0"/>
              <w:keepLines w:val="0"/>
              <w:pageBreakBefore w:val="0"/>
              <w:widowControl w:val="0"/>
              <w:kinsoku/>
              <w:overflowPunct/>
              <w:topLinePunct w:val="0"/>
              <w:autoSpaceDE/>
              <w:autoSpaceDN/>
              <w:bidi w:val="0"/>
              <w:spacing w:before="0" w:beforeAutospacing="0" w:after="0" w:afterAutospacing="0" w:line="240" w:lineRule="auto"/>
              <w:ind w:left="-1" w:leftChars="-38" w:right="-103" w:rightChars="-49" w:hanging="79" w:hangingChars="33"/>
              <w:jc w:val="left"/>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宋体"/>
                <w:color w:val="auto"/>
                <w:szCs w:val="24"/>
                <w:highlight w:val="none"/>
              </w:rPr>
              <w:t>提供材料复印件加盖公章</w:t>
            </w:r>
          </w:p>
        </w:tc>
      </w:tr>
      <w:tr w14:paraId="716F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31" w:type="pct"/>
            <w:tcBorders>
              <w:bottom w:val="single" w:color="auto" w:sz="4" w:space="0"/>
            </w:tcBorders>
            <w:shd w:val="clear" w:color="auto" w:fill="auto"/>
            <w:vAlign w:val="center"/>
          </w:tcPr>
          <w:p w14:paraId="4FF07B27">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2</w:t>
            </w:r>
          </w:p>
        </w:tc>
        <w:tc>
          <w:tcPr>
            <w:tcW w:w="903" w:type="pct"/>
            <w:tcBorders>
              <w:bottom w:val="single" w:color="auto" w:sz="4" w:space="0"/>
            </w:tcBorders>
            <w:vAlign w:val="center"/>
          </w:tcPr>
          <w:p w14:paraId="4BEFF299">
            <w:pPr>
              <w:spacing w:after="50" w:line="360" w:lineRule="auto"/>
              <w:ind w:right="-10" w:rightChars="0"/>
              <w:jc w:val="both"/>
              <w:rPr>
                <w:rFonts w:ascii="宋体" w:hAnsi="宋体" w:eastAsia="宋体" w:cs="宋体"/>
                <w:color w:val="auto"/>
                <w:spacing w:val="9"/>
                <w:sz w:val="24"/>
                <w:szCs w:val="24"/>
                <w:highlight w:val="none"/>
              </w:rPr>
            </w:pPr>
            <w:r>
              <w:rPr>
                <w:rFonts w:hint="eastAsia" w:ascii="宋体" w:hAnsi="宋体" w:eastAsia="宋体" w:cs="宋体"/>
                <w:color w:val="auto"/>
                <w:sz w:val="24"/>
                <w:szCs w:val="24"/>
                <w:highlight w:val="none"/>
                <w:lang w:bidi="ar"/>
              </w:rPr>
              <w:t>本项目的特定资格要求</w:t>
            </w:r>
          </w:p>
        </w:tc>
        <w:tc>
          <w:tcPr>
            <w:tcW w:w="2500" w:type="pct"/>
            <w:tcBorders>
              <w:bottom w:val="single" w:color="auto" w:sz="4" w:space="0"/>
            </w:tcBorders>
            <w:vAlign w:val="center"/>
          </w:tcPr>
          <w:p w14:paraId="521E716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①供应商具有项目相关术中工具所需《医疗器械经营备案凭证》或《医疗器械经营许可证》（经营范围包含无源植入器械）；②术后康复辅具应具有《医疗器械注册证》或《医疗器械备案凭证》，部位至少包含（上肢、下肢、足部）固定器或矫形器；③提供本项目利用3D打印机依据患者情况制作的手术/医学模型医疗器械注册证</w:t>
            </w:r>
            <w:r>
              <w:rPr>
                <w:rFonts w:hint="eastAsia" w:ascii="宋体" w:hAnsi="宋体" w:eastAsia="宋体" w:cs="宋体"/>
                <w:color w:val="auto"/>
                <w:sz w:val="24"/>
                <w:szCs w:val="24"/>
                <w:highlight w:val="none"/>
                <w:lang w:val="en-US" w:eastAsia="zh-CN" w:bidi="ar"/>
              </w:rPr>
              <w:t>（或备案证）</w:t>
            </w:r>
            <w:r>
              <w:rPr>
                <w:rFonts w:hint="eastAsia" w:ascii="宋体" w:hAnsi="宋体" w:eastAsia="宋体" w:cs="宋体"/>
                <w:color w:val="auto"/>
                <w:sz w:val="24"/>
                <w:szCs w:val="24"/>
                <w:highlight w:val="none"/>
                <w:lang w:val="en-US" w:eastAsia="zh-CN" w:bidi="ar"/>
              </w:rPr>
              <w:t>。</w:t>
            </w:r>
          </w:p>
        </w:tc>
        <w:tc>
          <w:tcPr>
            <w:tcW w:w="1164" w:type="pct"/>
            <w:vAlign w:val="center"/>
          </w:tcPr>
          <w:p w14:paraId="68E78A07">
            <w:pPr>
              <w:pStyle w:val="19"/>
              <w:keepNext w:val="0"/>
              <w:keepLines w:val="0"/>
              <w:pageBreakBefore w:val="0"/>
              <w:widowControl w:val="0"/>
              <w:kinsoku/>
              <w:overflowPunct/>
              <w:topLinePunct w:val="0"/>
              <w:autoSpaceDE/>
              <w:autoSpaceDN/>
              <w:bidi w:val="0"/>
              <w:spacing w:before="0" w:beforeAutospacing="0" w:after="0" w:afterAutospacing="0" w:line="240" w:lineRule="auto"/>
              <w:ind w:left="-1" w:leftChars="-38" w:right="-103" w:rightChars="-49" w:hanging="79" w:hangingChars="33"/>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提供材料复印件加盖公章</w:t>
            </w:r>
          </w:p>
        </w:tc>
      </w:tr>
      <w:tr w14:paraId="3BD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31" w:type="pct"/>
            <w:tcBorders>
              <w:bottom w:val="single" w:color="auto" w:sz="4" w:space="0"/>
            </w:tcBorders>
            <w:shd w:val="clear" w:color="auto" w:fill="auto"/>
            <w:vAlign w:val="center"/>
          </w:tcPr>
          <w:p w14:paraId="68DC919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3</w:t>
            </w:r>
          </w:p>
        </w:tc>
        <w:tc>
          <w:tcPr>
            <w:tcW w:w="903" w:type="pct"/>
            <w:tcBorders>
              <w:bottom w:val="single" w:color="auto" w:sz="4" w:space="0"/>
            </w:tcBorders>
            <w:vAlign w:val="center"/>
          </w:tcPr>
          <w:p w14:paraId="2ECEA40D">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00" w:type="pct"/>
            <w:tcBorders>
              <w:bottom w:val="single" w:color="auto" w:sz="4" w:space="0"/>
            </w:tcBorders>
            <w:vAlign w:val="center"/>
          </w:tcPr>
          <w:p w14:paraId="3EC75B94">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164" w:type="pct"/>
            <w:vAlign w:val="center"/>
          </w:tcPr>
          <w:p w14:paraId="6D5AF799">
            <w:pPr>
              <w:spacing w:line="360" w:lineRule="auto"/>
              <w:ind w:left="-1" w:leftChars="-38" w:right="-103" w:rightChars="-49" w:hanging="79" w:hangingChars="33"/>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ED8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bottom w:val="single" w:color="auto" w:sz="4" w:space="0"/>
            </w:tcBorders>
            <w:vAlign w:val="center"/>
          </w:tcPr>
          <w:p w14:paraId="2C18EACA">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03" w:type="pct"/>
            <w:tcBorders>
              <w:bottom w:val="single" w:color="auto" w:sz="4" w:space="0"/>
            </w:tcBorders>
            <w:vAlign w:val="center"/>
          </w:tcPr>
          <w:p w14:paraId="02EC126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00" w:type="pct"/>
            <w:tcBorders>
              <w:bottom w:val="single" w:color="auto" w:sz="4" w:space="0"/>
            </w:tcBorders>
            <w:vAlign w:val="center"/>
          </w:tcPr>
          <w:p w14:paraId="245BDA32">
            <w:pPr>
              <w:keepNext w:val="0"/>
              <w:keepLines w:val="0"/>
              <w:pageBreakBefore w:val="0"/>
              <w:widowControl w:val="0"/>
              <w:kinsoku/>
              <w:overflowPunct/>
              <w:topLinePunct w:val="0"/>
              <w:autoSpaceDE/>
              <w:autoSpaceDN/>
              <w:bidi w:val="0"/>
              <w:spacing w:after="50" w:line="240" w:lineRule="auto"/>
              <w:ind w:right="-10" w:rightChars="0"/>
              <w:jc w:val="left"/>
              <w:textAlignment w:val="auto"/>
              <w:rPr>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64" w:type="pct"/>
            <w:tcBorders>
              <w:bottom w:val="single" w:color="auto" w:sz="4" w:space="0"/>
            </w:tcBorders>
            <w:vAlign w:val="center"/>
          </w:tcPr>
          <w:p w14:paraId="21C82E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1" w:leftChars="-38" w:right="-103" w:rightChars="-49" w:hanging="79" w:hangingChars="33"/>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投标人提供诚信投标承诺书</w:t>
            </w:r>
            <w:r>
              <w:rPr>
                <w:rFonts w:hint="eastAsia" w:ascii="宋体" w:hAnsi="宋体" w:eastAsia="宋体" w:cs="宋体"/>
                <w:color w:val="auto"/>
                <w:sz w:val="24"/>
                <w:szCs w:val="24"/>
                <w:highlight w:val="none"/>
                <w:lang w:val="en-US" w:eastAsia="zh-CN"/>
              </w:rPr>
              <w:t>；</w:t>
            </w:r>
          </w:p>
          <w:p w14:paraId="41A89E7B">
            <w:pPr>
              <w:keepNext w:val="0"/>
              <w:keepLines w:val="0"/>
              <w:pageBreakBefore w:val="0"/>
              <w:widowControl w:val="0"/>
              <w:kinsoku/>
              <w:wordWrap w:val="0"/>
              <w:overflowPunct/>
              <w:topLinePunct w:val="0"/>
              <w:autoSpaceDE/>
              <w:autoSpaceDN/>
              <w:bidi w:val="0"/>
              <w:spacing w:line="240" w:lineRule="auto"/>
              <w:ind w:left="-1" w:leftChars="-38" w:right="-103" w:rightChars="-49" w:hanging="79" w:hangingChars="33"/>
              <w:jc w:val="center"/>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bl>
    <w:p w14:paraId="78298EAB">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4965C8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AEB819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6"/>
        <w:gridCol w:w="3126"/>
        <w:gridCol w:w="2715"/>
      </w:tblGrid>
      <w:tr w14:paraId="546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000" w:type="pct"/>
            <w:gridSpan w:val="4"/>
            <w:tcBorders>
              <w:bottom w:val="single" w:color="auto" w:sz="4" w:space="0"/>
            </w:tcBorders>
            <w:vAlign w:val="center"/>
          </w:tcPr>
          <w:p w14:paraId="26D9A606">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05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39" w:type="pct"/>
            <w:tcBorders>
              <w:bottom w:val="single" w:color="auto" w:sz="4" w:space="0"/>
            </w:tcBorders>
            <w:vAlign w:val="center"/>
          </w:tcPr>
          <w:p w14:paraId="218FE02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13" w:type="pct"/>
            <w:tcBorders>
              <w:bottom w:val="single" w:color="auto" w:sz="4" w:space="0"/>
            </w:tcBorders>
            <w:vAlign w:val="center"/>
          </w:tcPr>
          <w:p w14:paraId="598A1F98">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792" w:type="pct"/>
            <w:tcBorders>
              <w:bottom w:val="single" w:color="auto" w:sz="4" w:space="0"/>
            </w:tcBorders>
            <w:vAlign w:val="center"/>
          </w:tcPr>
          <w:p w14:paraId="63F3C5DB">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554" w:type="pct"/>
            <w:tcBorders>
              <w:bottom w:val="single" w:color="auto" w:sz="4" w:space="0"/>
            </w:tcBorders>
            <w:vAlign w:val="center"/>
          </w:tcPr>
          <w:p w14:paraId="08C5435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9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39" w:type="pct"/>
            <w:vAlign w:val="center"/>
          </w:tcPr>
          <w:p w14:paraId="0266C66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13" w:type="pct"/>
            <w:vAlign w:val="center"/>
          </w:tcPr>
          <w:p w14:paraId="108D396E">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792" w:type="pct"/>
            <w:vAlign w:val="center"/>
          </w:tcPr>
          <w:p w14:paraId="3A148AA8">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14AC44DC">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3FC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39" w:type="pct"/>
            <w:vAlign w:val="center"/>
          </w:tcPr>
          <w:p w14:paraId="05DC55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13" w:type="pct"/>
            <w:vAlign w:val="center"/>
          </w:tcPr>
          <w:p w14:paraId="703FA45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792" w:type="pct"/>
            <w:vAlign w:val="center"/>
          </w:tcPr>
          <w:p w14:paraId="4314824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0324921E">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318F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4C050BF5">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13" w:type="pct"/>
            <w:vAlign w:val="center"/>
          </w:tcPr>
          <w:p w14:paraId="616B655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792" w:type="pct"/>
            <w:vAlign w:val="center"/>
          </w:tcPr>
          <w:p w14:paraId="344ADE6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050607CA">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04C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39" w:type="pct"/>
            <w:vAlign w:val="center"/>
          </w:tcPr>
          <w:p w14:paraId="6D9706F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13" w:type="pct"/>
            <w:vAlign w:val="center"/>
          </w:tcPr>
          <w:p w14:paraId="51FDEEB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792" w:type="pct"/>
            <w:vAlign w:val="center"/>
          </w:tcPr>
          <w:p w14:paraId="564ACA8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554" w:type="pct"/>
            <w:vAlign w:val="center"/>
          </w:tcPr>
          <w:p w14:paraId="78FF8201">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3976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39" w:type="pct"/>
            <w:vAlign w:val="center"/>
          </w:tcPr>
          <w:p w14:paraId="00DB71F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13" w:type="pct"/>
            <w:vAlign w:val="center"/>
          </w:tcPr>
          <w:p w14:paraId="2A62F3BA">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792" w:type="pct"/>
            <w:vAlign w:val="center"/>
          </w:tcPr>
          <w:p w14:paraId="50D05A99">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服务期限</w:t>
            </w:r>
            <w:r>
              <w:rPr>
                <w:rFonts w:hint="eastAsia" w:asciiTheme="minorEastAsia" w:hAnsiTheme="minorEastAsia" w:eastAsiaTheme="minorEastAsia"/>
                <w:color w:val="auto"/>
                <w:sz w:val="24"/>
                <w:szCs w:val="28"/>
                <w:highlight w:val="none"/>
              </w:rPr>
              <w:t>等实质性要求</w:t>
            </w:r>
          </w:p>
        </w:tc>
        <w:tc>
          <w:tcPr>
            <w:tcW w:w="1554" w:type="pct"/>
            <w:vAlign w:val="center"/>
          </w:tcPr>
          <w:p w14:paraId="6357BD78">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696E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7A12DD7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13" w:type="pct"/>
            <w:vAlign w:val="center"/>
          </w:tcPr>
          <w:p w14:paraId="6665292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响应情况</w:t>
            </w:r>
          </w:p>
        </w:tc>
        <w:tc>
          <w:tcPr>
            <w:tcW w:w="1792" w:type="pct"/>
            <w:vAlign w:val="center"/>
          </w:tcPr>
          <w:p w14:paraId="102544F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宋体" w:hAnsi="宋体" w:eastAsia="宋体" w:cs="@仿宋_GB2312"/>
                <w:b/>
                <w:bCs w:val="0"/>
                <w:color w:val="auto"/>
                <w:kern w:val="2"/>
                <w:sz w:val="24"/>
                <w:szCs w:val="18"/>
                <w:highlight w:val="none"/>
                <w:lang w:val="en-US" w:eastAsia="zh-CN" w:bidi="ar-SA"/>
              </w:rPr>
              <w:t>服务需求等</w:t>
            </w:r>
            <w:r>
              <w:rPr>
                <w:rFonts w:hint="eastAsia" w:asciiTheme="minorEastAsia" w:hAnsiTheme="minorEastAsia" w:eastAsiaTheme="minorEastAsia"/>
                <w:color w:val="auto"/>
                <w:sz w:val="24"/>
                <w:szCs w:val="28"/>
                <w:highlight w:val="none"/>
              </w:rPr>
              <w:t>实质性要求</w:t>
            </w:r>
          </w:p>
        </w:tc>
        <w:tc>
          <w:tcPr>
            <w:tcW w:w="1554" w:type="pct"/>
            <w:vAlign w:val="center"/>
          </w:tcPr>
          <w:p w14:paraId="5E07602E">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15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595E125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13" w:type="pct"/>
            <w:vAlign w:val="center"/>
          </w:tcPr>
          <w:p w14:paraId="05CB9708">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792" w:type="pct"/>
            <w:vAlign w:val="center"/>
          </w:tcPr>
          <w:p w14:paraId="26BCFB2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554" w:type="pct"/>
            <w:vAlign w:val="center"/>
          </w:tcPr>
          <w:p w14:paraId="0C11AC9E">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tbl>
    <w:p w14:paraId="0051F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293DEB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详细审查</w:t>
      </w:r>
    </w:p>
    <w:p w14:paraId="2EBB40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168014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4"/>
        <w:tblW w:w="5701"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87"/>
        <w:gridCol w:w="5911"/>
        <w:gridCol w:w="1226"/>
      </w:tblGrid>
      <w:tr w14:paraId="227E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13" w:type="pct"/>
            <w:tcBorders>
              <w:top w:val="single" w:color="auto" w:sz="4" w:space="0"/>
              <w:left w:val="single" w:color="auto" w:sz="4" w:space="0"/>
              <w:bottom w:val="single" w:color="auto" w:sz="4" w:space="0"/>
              <w:right w:val="single" w:color="auto" w:sz="4" w:space="0"/>
            </w:tcBorders>
            <w:noWrap w:val="0"/>
            <w:vAlign w:val="center"/>
          </w:tcPr>
          <w:p w14:paraId="3C837799">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13" w:type="pct"/>
            <w:tcBorders>
              <w:top w:val="single" w:color="auto" w:sz="4" w:space="0"/>
              <w:left w:val="nil"/>
              <w:bottom w:val="single" w:color="auto" w:sz="4" w:space="0"/>
              <w:right w:val="single" w:color="auto" w:sz="4" w:space="0"/>
            </w:tcBorders>
            <w:noWrap w:val="0"/>
            <w:vAlign w:val="center"/>
          </w:tcPr>
          <w:p w14:paraId="1648BD35">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041" w:type="pct"/>
            <w:tcBorders>
              <w:top w:val="single" w:color="auto" w:sz="4" w:space="0"/>
              <w:left w:val="nil"/>
              <w:bottom w:val="single" w:color="auto" w:sz="4" w:space="0"/>
              <w:right w:val="single" w:color="auto" w:sz="4" w:space="0"/>
            </w:tcBorders>
            <w:noWrap w:val="0"/>
            <w:vAlign w:val="center"/>
          </w:tcPr>
          <w:p w14:paraId="4B21DBC6">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30" w:type="pct"/>
            <w:tcBorders>
              <w:top w:val="single" w:color="auto" w:sz="4" w:space="0"/>
              <w:left w:val="nil"/>
              <w:bottom w:val="single" w:color="auto" w:sz="4" w:space="0"/>
              <w:right w:val="single" w:color="auto" w:sz="4" w:space="0"/>
            </w:tcBorders>
            <w:noWrap w:val="0"/>
            <w:vAlign w:val="center"/>
          </w:tcPr>
          <w:p w14:paraId="0DE15A3B">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须提供的证明材料</w:t>
            </w:r>
          </w:p>
        </w:tc>
      </w:tr>
      <w:tr w14:paraId="2E5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613" w:type="pct"/>
            <w:vMerge w:val="restart"/>
            <w:tcBorders>
              <w:top w:val="single" w:color="auto" w:sz="4" w:space="0"/>
              <w:left w:val="single" w:color="auto" w:sz="4" w:space="0"/>
              <w:right w:val="single" w:color="auto" w:sz="4" w:space="0"/>
            </w:tcBorders>
            <w:noWrap w:val="0"/>
            <w:vAlign w:val="center"/>
          </w:tcPr>
          <w:p w14:paraId="496A65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690ECB6C">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47分</w:t>
            </w:r>
            <w:r>
              <w:rPr>
                <w:rFonts w:hint="eastAsia" w:ascii="宋体" w:hAnsi="宋体" w:eastAsia="宋体" w:cs="宋体"/>
                <w:color w:val="auto"/>
                <w:sz w:val="24"/>
                <w:szCs w:val="24"/>
                <w:highlight w:val="none"/>
                <w:lang w:eastAsia="zh-CN"/>
              </w:rPr>
              <w:t>）</w:t>
            </w:r>
          </w:p>
        </w:tc>
        <w:tc>
          <w:tcPr>
            <w:tcW w:w="713" w:type="pct"/>
            <w:tcBorders>
              <w:top w:val="single" w:color="auto" w:sz="4" w:space="0"/>
              <w:left w:val="nil"/>
              <w:bottom w:val="single" w:color="auto" w:sz="4" w:space="0"/>
              <w:right w:val="single" w:color="auto" w:sz="4" w:space="0"/>
            </w:tcBorders>
            <w:noWrap w:val="0"/>
            <w:vAlign w:val="center"/>
          </w:tcPr>
          <w:p w14:paraId="30DCF3A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06362433">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noWrap w:val="0"/>
            <w:vAlign w:val="center"/>
          </w:tcPr>
          <w:p w14:paraId="25D3085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投标人自2022年1月1日（以合同签订时间为准）以来具有与医疗机构</w:t>
            </w:r>
            <w:r>
              <w:rPr>
                <w:rFonts w:hint="eastAsia" w:ascii="宋体" w:hAnsi="宋体" w:eastAsia="宋体" w:cs="宋体"/>
                <w:b/>
                <w:bCs/>
                <w:color w:val="auto"/>
                <w:sz w:val="24"/>
                <w:szCs w:val="24"/>
                <w:highlight w:val="none"/>
                <w:lang w:val="en-US" w:eastAsia="zh-CN"/>
              </w:rPr>
              <w:t>续签</w:t>
            </w:r>
            <w:r>
              <w:rPr>
                <w:rFonts w:hint="eastAsia" w:ascii="宋体" w:hAnsi="宋体" w:eastAsia="宋体" w:cs="宋体"/>
                <w:color w:val="auto"/>
                <w:sz w:val="24"/>
                <w:szCs w:val="24"/>
                <w:highlight w:val="none"/>
                <w:lang w:val="en-US" w:eastAsia="zh-CN"/>
              </w:rPr>
              <w:t>3D打印业务服务项目业绩，</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一项</w:t>
            </w:r>
            <w:r>
              <w:rPr>
                <w:rFonts w:hint="eastAsia" w:ascii="宋体" w:hAnsi="宋体" w:eastAsia="宋体" w:cs="宋体"/>
                <w:color w:val="auto"/>
                <w:sz w:val="24"/>
                <w:szCs w:val="24"/>
                <w:highlight w:val="none"/>
                <w:lang w:val="en-US" w:eastAsia="zh-CN"/>
              </w:rPr>
              <w:t>业绩得3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最高</w:t>
            </w:r>
            <w:r>
              <w:rPr>
                <w:rFonts w:hint="eastAsia" w:ascii="宋体" w:hAnsi="宋体" w:eastAsia="宋体" w:cs="宋体"/>
                <w:color w:val="auto"/>
                <w:sz w:val="24"/>
                <w:szCs w:val="24"/>
                <w:highlight w:val="none"/>
                <w:lang w:val="en-US" w:eastAsia="zh-CN"/>
              </w:rPr>
              <w:t>得6</w:t>
            </w:r>
            <w:r>
              <w:rPr>
                <w:rFonts w:hint="eastAsia" w:ascii="宋体" w:hAnsi="宋体" w:eastAsia="宋体" w:cs="宋体"/>
                <w:color w:val="auto"/>
                <w:sz w:val="24"/>
                <w:szCs w:val="24"/>
                <w:highlight w:val="none"/>
              </w:rPr>
              <w:t>分。</w:t>
            </w:r>
          </w:p>
          <w:p w14:paraId="6B3025FA">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注：须同时提供首签合同和续签合同复印件并加盖投标人公章，缺少任一材料则该业绩不得分。</w:t>
            </w:r>
          </w:p>
        </w:tc>
        <w:tc>
          <w:tcPr>
            <w:tcW w:w="630" w:type="pct"/>
            <w:vMerge w:val="restart"/>
            <w:tcBorders>
              <w:top w:val="single" w:color="auto" w:sz="4" w:space="0"/>
              <w:left w:val="nil"/>
              <w:right w:val="single" w:color="auto" w:sz="4" w:space="0"/>
            </w:tcBorders>
            <w:noWrap w:val="0"/>
            <w:vAlign w:val="center"/>
          </w:tcPr>
          <w:p w14:paraId="3AA6C4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投标人须按资信评审细则的要求，提供相关的证明材料复印件加盖投标供应商公章，未按要求提供的，所对应项不得分。</w:t>
            </w:r>
          </w:p>
          <w:p w14:paraId="5C2EAB05">
            <w:pPr>
              <w:spacing w:line="440" w:lineRule="exact"/>
              <w:jc w:val="left"/>
              <w:rPr>
                <w:rFonts w:hint="eastAsia" w:ascii="宋体" w:hAnsi="宋体" w:eastAsia="宋体" w:cs="宋体"/>
                <w:color w:val="auto"/>
                <w:sz w:val="24"/>
                <w:szCs w:val="24"/>
                <w:highlight w:val="none"/>
              </w:rPr>
            </w:pPr>
          </w:p>
        </w:tc>
      </w:tr>
      <w:tr w14:paraId="02EA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rPr>
        <w:tc>
          <w:tcPr>
            <w:tcW w:w="613" w:type="pct"/>
            <w:vMerge w:val="continue"/>
            <w:tcBorders>
              <w:left w:val="single" w:color="auto" w:sz="4" w:space="0"/>
              <w:right w:val="single" w:color="auto" w:sz="4" w:space="0"/>
            </w:tcBorders>
            <w:noWrap w:val="0"/>
            <w:vAlign w:val="center"/>
          </w:tcPr>
          <w:p w14:paraId="3297023F">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noWrap w:val="0"/>
            <w:vAlign w:val="center"/>
          </w:tcPr>
          <w:p w14:paraId="175FE7D8">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w:t>
            </w:r>
          </w:p>
          <w:p w14:paraId="74854433">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实力</w:t>
            </w:r>
          </w:p>
          <w:p w14:paraId="704AABB0">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0-15分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noWrap w:val="0"/>
            <w:vAlign w:val="center"/>
          </w:tcPr>
          <w:p w14:paraId="2BB6BCE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1.投标人所提供的混合现实(MR)设备能协助采购人进行混合现实手术的规划及实施，得4分。</w:t>
            </w:r>
          </w:p>
          <w:p w14:paraId="0A0D303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注：提供混合现实(MR)设备处理软件的医疗器械注册证。</w:t>
            </w:r>
          </w:p>
          <w:p w14:paraId="7E14CFC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2.投标人具有医疗3D打印订单管理系统的，得2分。</w:t>
            </w:r>
            <w:r>
              <w:rPr>
                <w:rFonts w:hint="eastAsia" w:ascii="宋体" w:hAnsi="宋体" w:eastAsia="宋体" w:cs="宋体"/>
                <w:b/>
                <w:bCs/>
                <w:color w:val="auto"/>
                <w:sz w:val="24"/>
                <w:szCs w:val="24"/>
                <w:highlight w:val="none"/>
                <w:lang w:val="en-US" w:eastAsia="zh-CN"/>
              </w:rPr>
              <w:t>注：提供该系统的软件著作权证书。</w:t>
            </w:r>
          </w:p>
          <w:p w14:paraId="7B6F2E9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3.投标人的医疗3D打印订单管理系统，支持医学影像数据云存储、三维数据建模记录、打印物料记录、质检等全链路追踪管理功能，得3分。</w:t>
            </w:r>
          </w:p>
          <w:p w14:paraId="0A9F05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注：提供说明书或软件界面截图。</w:t>
            </w:r>
          </w:p>
          <w:p w14:paraId="154D73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投标人参与过3D打印相关市级及以上级别科研专项的研究工作，每提供一项的2分，满分6分。</w:t>
            </w:r>
            <w:r>
              <w:rPr>
                <w:rFonts w:hint="eastAsia" w:ascii="宋体" w:hAnsi="宋体" w:eastAsia="宋体" w:cs="宋体"/>
                <w:b/>
                <w:bCs/>
                <w:color w:val="auto"/>
                <w:sz w:val="24"/>
                <w:szCs w:val="24"/>
                <w:highlight w:val="none"/>
                <w:lang w:val="en-US" w:eastAsia="zh-CN"/>
              </w:rPr>
              <w:t>注：提供中标通知书或合作协议。</w:t>
            </w:r>
          </w:p>
        </w:tc>
        <w:tc>
          <w:tcPr>
            <w:tcW w:w="630" w:type="pct"/>
            <w:vMerge w:val="continue"/>
            <w:tcBorders>
              <w:left w:val="nil"/>
              <w:right w:val="single" w:color="auto" w:sz="4" w:space="0"/>
            </w:tcBorders>
            <w:noWrap w:val="0"/>
            <w:vAlign w:val="center"/>
          </w:tcPr>
          <w:p w14:paraId="2C605C5F">
            <w:pPr>
              <w:spacing w:line="440" w:lineRule="exact"/>
              <w:jc w:val="left"/>
              <w:rPr>
                <w:rFonts w:hint="eastAsia" w:ascii="宋体" w:hAnsi="宋体" w:eastAsia="宋体" w:cs="宋体"/>
                <w:color w:val="auto"/>
                <w:sz w:val="24"/>
                <w:szCs w:val="24"/>
                <w:highlight w:val="none"/>
                <w:lang w:val="en-US" w:eastAsia="zh-CN"/>
              </w:rPr>
            </w:pPr>
          </w:p>
        </w:tc>
      </w:tr>
      <w:tr w14:paraId="7219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613" w:type="pct"/>
            <w:vMerge w:val="continue"/>
            <w:tcBorders>
              <w:left w:val="single" w:color="auto" w:sz="4" w:space="0"/>
              <w:right w:val="single" w:color="auto" w:sz="4" w:space="0"/>
            </w:tcBorders>
            <w:noWrap w:val="0"/>
            <w:vAlign w:val="center"/>
          </w:tcPr>
          <w:p w14:paraId="20435DAF">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noWrap w:val="0"/>
            <w:vAlign w:val="center"/>
          </w:tcPr>
          <w:p w14:paraId="28A283FE">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履约能力证明材料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noWrap w:val="0"/>
            <w:vAlign w:val="center"/>
          </w:tcPr>
          <w:p w14:paraId="0AACFD5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（1）投标人3D材料的可靠安全性，投标人需提供近2年由第三方检测机构出具的模型树脂可靠安全性的检测报告（依据GB/T 16886.5-2017 医疗器械生物学评价 第5部分：体外细胞毒性试验，报告结论为试验样品的浸提液对检测的细胞无潜在毒性影响），每提供一个得4分，满分4分。</w:t>
            </w:r>
            <w:r>
              <w:rPr>
                <w:rFonts w:hint="eastAsia" w:ascii="宋体" w:hAnsi="宋体" w:eastAsia="宋体" w:cs="宋体"/>
                <w:b/>
                <w:bCs/>
                <w:color w:val="auto"/>
                <w:sz w:val="24"/>
                <w:szCs w:val="24"/>
                <w:highlight w:val="none"/>
                <w:lang w:val="en-US" w:eastAsia="zh-CN"/>
              </w:rPr>
              <w:t>注：提供检测报告。</w:t>
            </w:r>
          </w:p>
          <w:p w14:paraId="7ADD6AB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（2）供应商每额外提供一份除资质要求所需部位外固定器或矫形器的医疗器械注册证或备案证，每提供一份得2分，满分10分。</w:t>
            </w:r>
            <w:r>
              <w:rPr>
                <w:rFonts w:hint="eastAsia" w:ascii="宋体" w:hAnsi="宋体" w:eastAsia="宋体" w:cs="宋体"/>
                <w:b/>
                <w:bCs/>
                <w:color w:val="auto"/>
                <w:sz w:val="24"/>
                <w:szCs w:val="24"/>
                <w:highlight w:val="none"/>
                <w:lang w:val="en-US" w:eastAsia="zh-CN"/>
              </w:rPr>
              <w:t>注：提供医疗器械注册证或备案证。</w:t>
            </w:r>
          </w:p>
          <w:p w14:paraId="2588357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（3）投标人提供三维医疗设计相关的软件著作权，证书中需体现投标人名称，每提供一个得3分，满分6分。</w:t>
            </w:r>
            <w:r>
              <w:rPr>
                <w:rFonts w:hint="eastAsia" w:ascii="宋体" w:hAnsi="宋体" w:eastAsia="宋体" w:cs="宋体"/>
                <w:b/>
                <w:bCs/>
                <w:color w:val="auto"/>
                <w:sz w:val="24"/>
                <w:szCs w:val="24"/>
                <w:highlight w:val="none"/>
                <w:lang w:val="en-US" w:eastAsia="zh-CN"/>
              </w:rPr>
              <w:t>注：提供软件著作权证书。</w:t>
            </w:r>
          </w:p>
        </w:tc>
        <w:tc>
          <w:tcPr>
            <w:tcW w:w="630" w:type="pct"/>
            <w:vMerge w:val="continue"/>
            <w:tcBorders>
              <w:left w:val="nil"/>
              <w:right w:val="single" w:color="auto" w:sz="4" w:space="0"/>
            </w:tcBorders>
            <w:noWrap w:val="0"/>
            <w:vAlign w:val="center"/>
          </w:tcPr>
          <w:p w14:paraId="112250E7">
            <w:pPr>
              <w:spacing w:line="440" w:lineRule="exact"/>
              <w:jc w:val="left"/>
              <w:rPr>
                <w:rFonts w:hint="eastAsia" w:ascii="宋体" w:hAnsi="宋体" w:eastAsia="宋体" w:cs="宋体"/>
                <w:color w:val="auto"/>
                <w:sz w:val="24"/>
                <w:szCs w:val="24"/>
                <w:highlight w:val="none"/>
                <w:lang w:val="en-US" w:eastAsia="zh-CN"/>
              </w:rPr>
            </w:pPr>
          </w:p>
        </w:tc>
      </w:tr>
      <w:tr w14:paraId="79B8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13" w:type="pct"/>
            <w:vMerge w:val="continue"/>
            <w:tcBorders>
              <w:left w:val="single" w:color="auto" w:sz="4" w:space="0"/>
              <w:right w:val="single" w:color="auto" w:sz="4" w:space="0"/>
            </w:tcBorders>
            <w:noWrap w:val="0"/>
            <w:vAlign w:val="center"/>
          </w:tcPr>
          <w:p w14:paraId="4436B468">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right w:val="single" w:color="auto" w:sz="4" w:space="0"/>
            </w:tcBorders>
            <w:noWrap w:val="0"/>
            <w:vAlign w:val="center"/>
          </w:tcPr>
          <w:p w14:paraId="064ECEB0">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人员安排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0-6分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noWrap w:val="0"/>
            <w:vAlign w:val="center"/>
          </w:tcPr>
          <w:p w14:paraId="6221326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拟派本项目的人员是医学影像相关专业或具有经人力资源社会保障部门备案的单位评定的3D打印或矫形器技能等级证书，每提供一人得3分，满分6分。</w:t>
            </w:r>
          </w:p>
          <w:p w14:paraId="583A00B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注：投标文件中提供人员学历、技能证书及投标人为其缴纳的2026年01月、02月、03月中任意一个月的社保证明材料或投标人承诺已为其缴纳社保。未提供证明材料的或证明材料不全的不得分。</w:t>
            </w:r>
          </w:p>
        </w:tc>
        <w:tc>
          <w:tcPr>
            <w:tcW w:w="630" w:type="pct"/>
            <w:vMerge w:val="continue"/>
            <w:tcBorders>
              <w:left w:val="nil"/>
              <w:right w:val="single" w:color="auto" w:sz="4" w:space="0"/>
            </w:tcBorders>
            <w:noWrap w:val="0"/>
            <w:vAlign w:val="center"/>
          </w:tcPr>
          <w:p w14:paraId="3C1D8A59">
            <w:pPr>
              <w:spacing w:line="440" w:lineRule="exact"/>
              <w:jc w:val="left"/>
              <w:rPr>
                <w:rFonts w:hint="eastAsia" w:ascii="宋体" w:hAnsi="宋体" w:eastAsia="宋体" w:cs="宋体"/>
                <w:color w:val="auto"/>
                <w:sz w:val="24"/>
                <w:szCs w:val="24"/>
                <w:highlight w:val="none"/>
                <w:lang w:val="en-US" w:eastAsia="zh-CN"/>
              </w:rPr>
            </w:pPr>
          </w:p>
        </w:tc>
      </w:tr>
      <w:tr w14:paraId="21D8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13" w:type="pct"/>
            <w:vMerge w:val="restart"/>
            <w:tcBorders>
              <w:left w:val="single" w:color="auto" w:sz="4" w:space="0"/>
              <w:right w:val="single" w:color="auto" w:sz="4" w:space="0"/>
            </w:tcBorders>
            <w:noWrap w:val="0"/>
            <w:vAlign w:val="center"/>
          </w:tcPr>
          <w:p w14:paraId="3E6209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分</w:t>
            </w:r>
          </w:p>
          <w:p w14:paraId="231BA5C9">
            <w:pPr>
              <w:widowControl/>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33分</w:t>
            </w:r>
            <w:r>
              <w:rPr>
                <w:rFonts w:hint="eastAsia" w:ascii="宋体" w:hAnsi="宋体" w:eastAsia="宋体" w:cs="宋体"/>
                <w:color w:val="auto"/>
                <w:sz w:val="24"/>
                <w:szCs w:val="24"/>
                <w:highlight w:val="none"/>
                <w:lang w:eastAsia="zh-CN"/>
              </w:rPr>
              <w:t>）</w:t>
            </w: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53A79E6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术前服务方案</w:t>
            </w:r>
          </w:p>
          <w:p w14:paraId="4A00229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61EF6CA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投标人针对本项目所提供的术前服务方案完全符合采购人实际情况，内容详尽、完整，重点突出，完全满足采购人需求，针对性强，得5分。</w:t>
            </w:r>
          </w:p>
          <w:p w14:paraId="404FA13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2.投标人针对本项目所提供的术前服务方案符合采购人实际情况，内容基本完整，重点明确，满足采购人需求，具有针对性，得3分。</w:t>
            </w:r>
          </w:p>
          <w:p w14:paraId="73FBA57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3.投标人针对本项目所提供的术前服务方案基本符合采购人实际情况，部分满足采购人需求，针对性有待改善，得1分。</w:t>
            </w:r>
          </w:p>
          <w:p w14:paraId="65BD880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4.方案不可行或无相关内容不得分。</w:t>
            </w:r>
          </w:p>
        </w:tc>
        <w:tc>
          <w:tcPr>
            <w:tcW w:w="630" w:type="pct"/>
            <w:vMerge w:val="restart"/>
            <w:tcBorders>
              <w:left w:val="nil"/>
              <w:right w:val="single" w:color="auto" w:sz="4" w:space="0"/>
            </w:tcBorders>
            <w:noWrap w:val="0"/>
            <w:vAlign w:val="center"/>
          </w:tcPr>
          <w:p w14:paraId="26866B7A">
            <w:pPr>
              <w:spacing w:line="440" w:lineRule="exact"/>
              <w:jc w:val="center"/>
              <w:rPr>
                <w:rFonts w:hint="eastAsia" w:ascii="宋体" w:hAnsi="宋体" w:eastAsia="宋体" w:cs="宋体"/>
                <w:b/>
                <w:color w:val="auto"/>
                <w:spacing w:val="15"/>
                <w:w w:val="99"/>
                <w:sz w:val="24"/>
                <w:szCs w:val="24"/>
                <w:highlight w:val="none"/>
              </w:rPr>
            </w:pPr>
            <w:r>
              <w:rPr>
                <w:rFonts w:hint="eastAsia" w:ascii="宋体" w:hAnsi="宋体" w:eastAsia="宋体" w:cs="宋体"/>
                <w:color w:val="auto"/>
                <w:sz w:val="24"/>
                <w:szCs w:val="24"/>
                <w:highlight w:val="none"/>
                <w:u w:val="none" w:color="000000"/>
                <w:lang w:val="zh-CN" w:bidi="zh-CN"/>
              </w:rPr>
              <w:t>评审核验</w:t>
            </w:r>
            <w:r>
              <w:rPr>
                <w:rFonts w:hint="eastAsia" w:ascii="宋体" w:hAnsi="宋体" w:eastAsia="宋体" w:cs="宋体"/>
                <w:color w:val="auto"/>
                <w:sz w:val="24"/>
                <w:szCs w:val="24"/>
                <w:highlight w:val="none"/>
                <w:u w:val="none" w:color="000000"/>
                <w:lang w:bidi="zh-CN"/>
              </w:rPr>
              <w:t>标投标文件</w:t>
            </w:r>
            <w:r>
              <w:rPr>
                <w:rFonts w:hint="eastAsia" w:ascii="宋体" w:hAnsi="宋体" w:eastAsia="宋体" w:cs="宋体"/>
                <w:color w:val="auto"/>
                <w:sz w:val="24"/>
                <w:szCs w:val="24"/>
                <w:highlight w:val="none"/>
                <w:u w:val="none" w:color="000000"/>
                <w:lang w:val="zh-CN" w:bidi="zh-CN"/>
              </w:rPr>
              <w:t>中的内容：须能充分有效反映出本评分项内容，</w:t>
            </w:r>
            <w:r>
              <w:rPr>
                <w:rFonts w:hint="eastAsia" w:ascii="宋体" w:hAnsi="宋体" w:eastAsia="宋体" w:cs="宋体"/>
                <w:color w:val="auto"/>
                <w:sz w:val="24"/>
                <w:szCs w:val="24"/>
                <w:highlight w:val="none"/>
              </w:rPr>
              <w:t>未提供或提供不全或无法认定的，</w:t>
            </w:r>
            <w:r>
              <w:rPr>
                <w:rFonts w:hint="eastAsia" w:ascii="宋体" w:hAnsi="宋体" w:eastAsia="宋体" w:cs="宋体"/>
                <w:color w:val="auto"/>
                <w:sz w:val="24"/>
                <w:szCs w:val="24"/>
                <w:highlight w:val="none"/>
                <w:lang w:bidi="en-US"/>
              </w:rPr>
              <w:t>评分项不予计分</w:t>
            </w:r>
            <w:r>
              <w:rPr>
                <w:rFonts w:hint="eastAsia" w:ascii="宋体" w:hAnsi="宋体" w:eastAsia="宋体" w:cs="宋体"/>
                <w:color w:val="auto"/>
                <w:sz w:val="24"/>
                <w:szCs w:val="24"/>
                <w:highlight w:val="none"/>
              </w:rPr>
              <w:t>。</w:t>
            </w:r>
          </w:p>
        </w:tc>
      </w:tr>
      <w:tr w14:paraId="739A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613" w:type="pct"/>
            <w:vMerge w:val="continue"/>
            <w:tcBorders>
              <w:left w:val="single" w:color="auto" w:sz="4" w:space="0"/>
              <w:right w:val="single" w:color="auto" w:sz="4" w:space="0"/>
            </w:tcBorders>
            <w:noWrap w:val="0"/>
            <w:vAlign w:val="center"/>
          </w:tcPr>
          <w:p w14:paraId="4565AA4E">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0EFB14E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术中服务方案</w:t>
            </w:r>
          </w:p>
          <w:p w14:paraId="199BD4B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22F891F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针对本项目所提供的术中服务方案完全符合采购人实际情况，内容详尽、完整，重点突出，完全满足采购人需求，针对性强，得4分。</w:t>
            </w:r>
          </w:p>
          <w:p w14:paraId="653C2F8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针对本项目所提供的术中服务方案符合采购人实际情况，内容基本完整，重点明确，满足采购人需求，具有针对性，得3分。</w:t>
            </w:r>
          </w:p>
          <w:p w14:paraId="6EDB7F4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针对本项目所提供的术中服务方案基本符合采购人实际情况，部分满足采购人需求，</w:t>
            </w:r>
            <w:r>
              <w:rPr>
                <w:rFonts w:hint="eastAsia" w:ascii="宋体" w:hAnsi="宋体" w:eastAsia="宋体" w:cs="宋体"/>
                <w:i w:val="0"/>
                <w:iCs w:val="0"/>
                <w:color w:val="auto"/>
                <w:kern w:val="0"/>
                <w:sz w:val="24"/>
                <w:szCs w:val="24"/>
                <w:highlight w:val="none"/>
                <w:u w:val="none"/>
                <w:lang w:val="en-US" w:eastAsia="zh-CN" w:bidi="ar"/>
              </w:rPr>
              <w:t>针对性有待改善，得1分。</w:t>
            </w:r>
          </w:p>
          <w:p w14:paraId="1641D5F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i w:val="0"/>
                <w:iCs w:val="0"/>
                <w:color w:val="auto"/>
                <w:kern w:val="0"/>
                <w:sz w:val="24"/>
                <w:szCs w:val="24"/>
                <w:highlight w:val="none"/>
                <w:u w:val="none"/>
                <w:lang w:val="en-US" w:eastAsia="zh-CN" w:bidi="ar"/>
              </w:rPr>
              <w:t>方案不可行或无相关内容不得分。</w:t>
            </w:r>
          </w:p>
        </w:tc>
        <w:tc>
          <w:tcPr>
            <w:tcW w:w="630" w:type="pct"/>
            <w:vMerge w:val="continue"/>
            <w:tcBorders>
              <w:left w:val="nil"/>
              <w:right w:val="single" w:color="auto" w:sz="4" w:space="0"/>
            </w:tcBorders>
            <w:noWrap w:val="0"/>
            <w:vAlign w:val="center"/>
          </w:tcPr>
          <w:p w14:paraId="5CDED13D">
            <w:pPr>
              <w:spacing w:line="440" w:lineRule="exact"/>
              <w:jc w:val="left"/>
              <w:rPr>
                <w:rFonts w:hint="eastAsia" w:ascii="宋体" w:hAnsi="宋体" w:eastAsia="宋体" w:cs="宋体"/>
                <w:color w:val="auto"/>
                <w:sz w:val="24"/>
                <w:szCs w:val="24"/>
                <w:highlight w:val="none"/>
                <w:lang w:val="en-US" w:eastAsia="zh-CN"/>
              </w:rPr>
            </w:pPr>
          </w:p>
        </w:tc>
      </w:tr>
      <w:tr w14:paraId="314F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13" w:type="pct"/>
            <w:vMerge w:val="continue"/>
            <w:tcBorders>
              <w:left w:val="single" w:color="auto" w:sz="4" w:space="0"/>
              <w:right w:val="single" w:color="auto" w:sz="4" w:space="0"/>
            </w:tcBorders>
            <w:noWrap w:val="0"/>
            <w:vAlign w:val="center"/>
          </w:tcPr>
          <w:p w14:paraId="045E343A">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0BCB3B2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术后服务方案</w:t>
            </w:r>
          </w:p>
          <w:p w14:paraId="27E6145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1B33CD4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针对本项目所提供的术后服务方案完全符合采购人实际情况，内容详尽、完整，重点突出，完全满足采购人需求，针对性强，得4分。</w:t>
            </w:r>
          </w:p>
          <w:p w14:paraId="3C31E8F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针对本项目所提供的术后服务方案符合采购人实际情况，内容基本完整，重点明确，满足采购人需求，具有针对性，得3分。</w:t>
            </w:r>
          </w:p>
          <w:p w14:paraId="22AB282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针对本项目所提供的术后服务方案基本符合采购人实际情况，部分满足采购人需求，</w:t>
            </w:r>
            <w:r>
              <w:rPr>
                <w:rFonts w:hint="eastAsia" w:ascii="宋体" w:hAnsi="宋体" w:eastAsia="宋体" w:cs="宋体"/>
                <w:i w:val="0"/>
                <w:iCs w:val="0"/>
                <w:color w:val="auto"/>
                <w:kern w:val="0"/>
                <w:sz w:val="24"/>
                <w:szCs w:val="24"/>
                <w:highlight w:val="none"/>
                <w:u w:val="none"/>
                <w:lang w:val="en-US" w:eastAsia="zh-CN" w:bidi="ar"/>
              </w:rPr>
              <w:t>针对性有待改善，</w:t>
            </w:r>
            <w:r>
              <w:rPr>
                <w:rFonts w:hint="eastAsia" w:ascii="宋体" w:hAnsi="宋体" w:eastAsia="宋体" w:cs="宋体"/>
                <w:color w:val="auto"/>
                <w:kern w:val="2"/>
                <w:sz w:val="24"/>
                <w:szCs w:val="24"/>
                <w:highlight w:val="none"/>
                <w:lang w:val="en-US" w:eastAsia="zh-CN" w:bidi="ar-SA"/>
              </w:rPr>
              <w:t>得1分。</w:t>
            </w:r>
          </w:p>
          <w:p w14:paraId="52FE72A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i w:val="0"/>
                <w:iCs w:val="0"/>
                <w:color w:val="auto"/>
                <w:kern w:val="0"/>
                <w:sz w:val="24"/>
                <w:szCs w:val="24"/>
                <w:highlight w:val="none"/>
                <w:u w:val="none"/>
                <w:lang w:val="en-US" w:eastAsia="zh-CN" w:bidi="ar"/>
              </w:rPr>
              <w:t>方案不可行或无相关内容不得分。</w:t>
            </w:r>
          </w:p>
        </w:tc>
        <w:tc>
          <w:tcPr>
            <w:tcW w:w="630" w:type="pct"/>
            <w:vMerge w:val="continue"/>
            <w:tcBorders>
              <w:left w:val="nil"/>
              <w:right w:val="single" w:color="auto" w:sz="4" w:space="0"/>
            </w:tcBorders>
            <w:noWrap w:val="0"/>
            <w:vAlign w:val="center"/>
          </w:tcPr>
          <w:p w14:paraId="6BBF8785">
            <w:pPr>
              <w:spacing w:line="440" w:lineRule="exact"/>
              <w:jc w:val="left"/>
              <w:rPr>
                <w:rFonts w:hint="eastAsia" w:ascii="宋体" w:hAnsi="宋体" w:eastAsia="宋体" w:cs="宋体"/>
                <w:color w:val="auto"/>
                <w:sz w:val="24"/>
                <w:szCs w:val="24"/>
                <w:highlight w:val="none"/>
                <w:lang w:val="en-US" w:eastAsia="zh-CN"/>
              </w:rPr>
            </w:pPr>
          </w:p>
        </w:tc>
      </w:tr>
      <w:tr w14:paraId="0CB5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13" w:type="pct"/>
            <w:vMerge w:val="continue"/>
            <w:tcBorders>
              <w:left w:val="single" w:color="auto" w:sz="4" w:space="0"/>
              <w:right w:val="single" w:color="auto" w:sz="4" w:space="0"/>
            </w:tcBorders>
            <w:noWrap w:val="0"/>
            <w:vAlign w:val="center"/>
          </w:tcPr>
          <w:p w14:paraId="4463D153">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3A948C8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非手术治疗服务方案</w:t>
            </w:r>
          </w:p>
          <w:p w14:paraId="0857187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077F715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针对本项目所提供的非手术治疗服务方案完全符合采购人实际情况，内容详尽、完整，重点突出，完全满足采购人需求，针对性强，得4分。</w:t>
            </w:r>
          </w:p>
          <w:p w14:paraId="778EE7E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针对本项目所提供的非手术治疗服务方案符合采购人实际情况，内容基本完整，重点明确，满足采购人需求，具有针对性，得3分。</w:t>
            </w:r>
          </w:p>
          <w:p w14:paraId="5DCCC0B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针对本项目所提供的非手术治疗服务方案基本符合采购人实际情况，部分满足采购人需求，</w:t>
            </w:r>
            <w:r>
              <w:rPr>
                <w:rFonts w:hint="eastAsia" w:ascii="宋体" w:hAnsi="宋体" w:eastAsia="宋体" w:cs="宋体"/>
                <w:i w:val="0"/>
                <w:iCs w:val="0"/>
                <w:color w:val="auto"/>
                <w:kern w:val="0"/>
                <w:sz w:val="24"/>
                <w:szCs w:val="24"/>
                <w:highlight w:val="none"/>
                <w:u w:val="none"/>
                <w:lang w:val="en-US" w:eastAsia="zh-CN" w:bidi="ar"/>
              </w:rPr>
              <w:t>针对性有待改善，</w:t>
            </w:r>
            <w:r>
              <w:rPr>
                <w:rFonts w:hint="eastAsia" w:ascii="宋体" w:hAnsi="宋体" w:eastAsia="宋体" w:cs="宋体"/>
                <w:color w:val="auto"/>
                <w:kern w:val="2"/>
                <w:sz w:val="24"/>
                <w:szCs w:val="24"/>
                <w:highlight w:val="none"/>
                <w:lang w:val="en-US" w:eastAsia="zh-CN" w:bidi="ar-SA"/>
              </w:rPr>
              <w:t>得1分。</w:t>
            </w:r>
          </w:p>
          <w:p w14:paraId="505BE05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i w:val="0"/>
                <w:iCs w:val="0"/>
                <w:color w:val="auto"/>
                <w:kern w:val="0"/>
                <w:sz w:val="24"/>
                <w:szCs w:val="24"/>
                <w:highlight w:val="none"/>
                <w:u w:val="none"/>
                <w:lang w:val="en-US" w:eastAsia="zh-CN" w:bidi="ar"/>
              </w:rPr>
              <w:t>方案不可行或无相关内容不得分。</w:t>
            </w:r>
          </w:p>
        </w:tc>
        <w:tc>
          <w:tcPr>
            <w:tcW w:w="630" w:type="pct"/>
            <w:vMerge w:val="continue"/>
            <w:tcBorders>
              <w:left w:val="nil"/>
              <w:right w:val="single" w:color="auto" w:sz="4" w:space="0"/>
            </w:tcBorders>
            <w:noWrap w:val="0"/>
            <w:vAlign w:val="center"/>
          </w:tcPr>
          <w:p w14:paraId="66D33820">
            <w:pPr>
              <w:spacing w:line="440" w:lineRule="exact"/>
              <w:jc w:val="left"/>
              <w:rPr>
                <w:rFonts w:hint="eastAsia" w:ascii="宋体" w:hAnsi="宋体" w:eastAsia="宋体" w:cs="宋体"/>
                <w:color w:val="auto"/>
                <w:sz w:val="24"/>
                <w:szCs w:val="24"/>
                <w:highlight w:val="none"/>
                <w:lang w:val="en-US" w:eastAsia="zh-CN"/>
              </w:rPr>
            </w:pPr>
          </w:p>
        </w:tc>
      </w:tr>
      <w:tr w14:paraId="52EB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13" w:type="pct"/>
            <w:vMerge w:val="continue"/>
            <w:tcBorders>
              <w:left w:val="single" w:color="auto" w:sz="4" w:space="0"/>
              <w:right w:val="single" w:color="auto" w:sz="4" w:space="0"/>
            </w:tcBorders>
            <w:noWrap w:val="0"/>
            <w:vAlign w:val="center"/>
          </w:tcPr>
          <w:p w14:paraId="646E2AA4">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7F70F51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质量保证措施</w:t>
            </w:r>
          </w:p>
          <w:p w14:paraId="15508FD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3CE49C3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投标人提供质量保证措施，包括体系化质量管理系统制度、质量管控落实等。</w:t>
            </w:r>
          </w:p>
          <w:p w14:paraId="384044B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1.质量保证措施包含上述全部内容，且完整详细，可行性、实用性、针对性强的，得4分；</w:t>
            </w:r>
          </w:p>
          <w:p w14:paraId="236B8EF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2.质量保证措施基本包含上述内容，具有可行性、实用性和针对性的，得2分；</w:t>
            </w:r>
          </w:p>
          <w:p w14:paraId="1E01A09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3.质量保证措施不可行或无相关内容不得分。</w:t>
            </w:r>
          </w:p>
        </w:tc>
        <w:tc>
          <w:tcPr>
            <w:tcW w:w="630" w:type="pct"/>
            <w:vMerge w:val="continue"/>
            <w:tcBorders>
              <w:left w:val="nil"/>
              <w:right w:val="single" w:color="auto" w:sz="4" w:space="0"/>
            </w:tcBorders>
            <w:noWrap w:val="0"/>
            <w:vAlign w:val="center"/>
          </w:tcPr>
          <w:p w14:paraId="0FB7478E">
            <w:pPr>
              <w:spacing w:line="440" w:lineRule="exact"/>
              <w:jc w:val="left"/>
              <w:rPr>
                <w:rFonts w:hint="eastAsia" w:ascii="宋体" w:hAnsi="宋体" w:eastAsia="宋体" w:cs="宋体"/>
                <w:color w:val="auto"/>
                <w:sz w:val="24"/>
                <w:szCs w:val="24"/>
                <w:highlight w:val="none"/>
                <w:lang w:val="en-US" w:eastAsia="zh-CN"/>
              </w:rPr>
            </w:pPr>
          </w:p>
        </w:tc>
      </w:tr>
      <w:tr w14:paraId="7EE2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13" w:type="pct"/>
            <w:vMerge w:val="continue"/>
            <w:tcBorders>
              <w:left w:val="single" w:color="auto" w:sz="4" w:space="0"/>
              <w:right w:val="single" w:color="auto" w:sz="4" w:space="0"/>
            </w:tcBorders>
            <w:noWrap w:val="0"/>
            <w:vAlign w:val="center"/>
          </w:tcPr>
          <w:p w14:paraId="35CA5C8F">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26D35F4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响应及应急预案</w:t>
            </w:r>
          </w:p>
          <w:p w14:paraId="7DA68A7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7C17D7D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投标人提供响应及应急预案，包括响应时间、响应措施、软硬件故障应急处理等。</w:t>
            </w:r>
          </w:p>
          <w:p w14:paraId="2221C65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1.响应及应急预案包含上述全部内容，且完整详细，可行性、实用性、针对性强的，得4分；</w:t>
            </w:r>
          </w:p>
          <w:p w14:paraId="03AF269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2.响应及应急预案有缺失，可行性、实用性、针对性有待改善的，得2分；</w:t>
            </w:r>
          </w:p>
          <w:p w14:paraId="67C9E45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3.响应及应急预案不可行或无相关内容不得分。</w:t>
            </w:r>
          </w:p>
        </w:tc>
        <w:tc>
          <w:tcPr>
            <w:tcW w:w="630" w:type="pct"/>
            <w:vMerge w:val="continue"/>
            <w:tcBorders>
              <w:left w:val="nil"/>
              <w:right w:val="single" w:color="auto" w:sz="4" w:space="0"/>
            </w:tcBorders>
            <w:noWrap w:val="0"/>
            <w:vAlign w:val="center"/>
          </w:tcPr>
          <w:p w14:paraId="7EC6AE52">
            <w:pPr>
              <w:spacing w:line="440" w:lineRule="exact"/>
              <w:jc w:val="left"/>
              <w:rPr>
                <w:rFonts w:hint="eastAsia" w:ascii="宋体" w:hAnsi="宋体" w:eastAsia="宋体" w:cs="宋体"/>
                <w:color w:val="auto"/>
                <w:sz w:val="24"/>
                <w:szCs w:val="24"/>
                <w:highlight w:val="none"/>
                <w:lang w:val="en-US" w:eastAsia="zh-CN"/>
              </w:rPr>
            </w:pPr>
          </w:p>
        </w:tc>
      </w:tr>
      <w:tr w14:paraId="15B5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13" w:type="pct"/>
            <w:vMerge w:val="continue"/>
            <w:tcBorders>
              <w:left w:val="single" w:color="auto" w:sz="4" w:space="0"/>
              <w:right w:val="single" w:color="auto" w:sz="4" w:space="0"/>
            </w:tcBorders>
            <w:noWrap w:val="0"/>
            <w:vAlign w:val="center"/>
          </w:tcPr>
          <w:p w14:paraId="58438B70">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2D2BDC8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平台实施及管理方案</w:t>
            </w:r>
          </w:p>
          <w:p w14:paraId="59EA14C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1E33585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投标人需提供</w:t>
            </w:r>
            <w:r>
              <w:rPr>
                <w:rFonts w:hint="eastAsia" w:ascii="宋体" w:hAnsi="宋体" w:eastAsia="宋体" w:cs="宋体"/>
                <w:color w:val="auto"/>
                <w:sz w:val="24"/>
                <w:szCs w:val="24"/>
                <w:highlight w:val="none"/>
                <w:u w:val="single"/>
                <w:lang w:val="en-US" w:eastAsia="zh-CN" w:bidi="ar"/>
              </w:rPr>
              <w:t>个体化数字医疗工作室</w:t>
            </w:r>
            <w:r>
              <w:rPr>
                <w:rFonts w:hint="eastAsia" w:ascii="宋体" w:hAnsi="宋体" w:eastAsia="宋体" w:cs="宋体"/>
                <w:color w:val="auto"/>
                <w:kern w:val="2"/>
                <w:sz w:val="24"/>
                <w:szCs w:val="24"/>
                <w:highlight w:val="none"/>
                <w:lang w:val="en-US" w:eastAsia="zh-CN" w:bidi="ar-SA"/>
              </w:rPr>
              <w:t>实施规划和工作室运营管理方案。</w:t>
            </w:r>
          </w:p>
          <w:p w14:paraId="23CF279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1.方案包含上述全部内容，且完整详细，优于本项目采购需求，针对性强，得4分；</w:t>
            </w:r>
          </w:p>
          <w:p w14:paraId="2C7BDE9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2.平台建设方案有缺失，基本适合本项目采购需求，针对性有待改善，得2分；</w:t>
            </w:r>
          </w:p>
          <w:p w14:paraId="58D0ECC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3.方案不可行或无相关内容不得分。</w:t>
            </w:r>
          </w:p>
        </w:tc>
        <w:tc>
          <w:tcPr>
            <w:tcW w:w="630" w:type="pct"/>
            <w:vMerge w:val="continue"/>
            <w:tcBorders>
              <w:left w:val="nil"/>
              <w:right w:val="single" w:color="auto" w:sz="4" w:space="0"/>
            </w:tcBorders>
            <w:noWrap w:val="0"/>
            <w:vAlign w:val="center"/>
          </w:tcPr>
          <w:p w14:paraId="2793D850">
            <w:pPr>
              <w:spacing w:line="440" w:lineRule="exact"/>
              <w:jc w:val="left"/>
              <w:rPr>
                <w:rFonts w:hint="eastAsia" w:ascii="宋体" w:hAnsi="宋体" w:eastAsia="宋体" w:cs="宋体"/>
                <w:color w:val="auto"/>
                <w:sz w:val="24"/>
                <w:szCs w:val="24"/>
                <w:highlight w:val="none"/>
                <w:lang w:val="en-US" w:eastAsia="zh-CN"/>
              </w:rPr>
            </w:pPr>
          </w:p>
        </w:tc>
      </w:tr>
      <w:tr w14:paraId="3238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13" w:type="pct"/>
            <w:vMerge w:val="continue"/>
            <w:tcBorders>
              <w:left w:val="single" w:color="auto" w:sz="4" w:space="0"/>
              <w:right w:val="single" w:color="auto" w:sz="4" w:space="0"/>
            </w:tcBorders>
            <w:noWrap w:val="0"/>
            <w:vAlign w:val="center"/>
          </w:tcPr>
          <w:p w14:paraId="7E2357DA">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right w:val="single" w:color="auto" w:sz="4" w:space="0"/>
            </w:tcBorders>
            <w:shd w:val="clear" w:color="auto" w:fill="auto"/>
            <w:noWrap w:val="0"/>
            <w:vAlign w:val="center"/>
          </w:tcPr>
          <w:p w14:paraId="5B95009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技术培训</w:t>
            </w:r>
          </w:p>
          <w:p w14:paraId="14A352B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right w:val="single" w:color="auto" w:sz="4" w:space="0"/>
            </w:tcBorders>
            <w:shd w:val="clear" w:color="auto" w:fill="auto"/>
            <w:noWrap w:val="0"/>
            <w:vAlign w:val="center"/>
          </w:tcPr>
          <w:p w14:paraId="7380ECF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投标人提供技术培训方案，包括具体的时间计划、培训实施方案等。</w:t>
            </w:r>
          </w:p>
          <w:p w14:paraId="517177F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1.技术培训方案包含上述全部内容，且完整详细，可行性、实用性、针对性强的，得4分；</w:t>
            </w:r>
          </w:p>
          <w:p w14:paraId="08BAF37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2.技术培训方案有缺失，可行性、实用性、针对性有待改善的，得2分；</w:t>
            </w:r>
          </w:p>
          <w:p w14:paraId="6B19E3B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4.技术培训方案不可行或无相关内容不得分。</w:t>
            </w:r>
          </w:p>
        </w:tc>
        <w:tc>
          <w:tcPr>
            <w:tcW w:w="630" w:type="pct"/>
            <w:vMerge w:val="continue"/>
            <w:tcBorders>
              <w:left w:val="nil"/>
              <w:right w:val="single" w:color="auto" w:sz="4" w:space="0"/>
            </w:tcBorders>
            <w:noWrap w:val="0"/>
            <w:vAlign w:val="center"/>
          </w:tcPr>
          <w:p w14:paraId="5BE399FC">
            <w:pPr>
              <w:spacing w:line="440" w:lineRule="exact"/>
              <w:jc w:val="left"/>
              <w:rPr>
                <w:rFonts w:hint="eastAsia" w:ascii="宋体" w:hAnsi="宋体" w:eastAsia="宋体" w:cs="宋体"/>
                <w:color w:val="auto"/>
                <w:sz w:val="24"/>
                <w:szCs w:val="24"/>
                <w:highlight w:val="none"/>
                <w:lang w:val="en-US" w:eastAsia="zh-CN"/>
              </w:rPr>
            </w:pPr>
          </w:p>
        </w:tc>
      </w:tr>
      <w:tr w14:paraId="6307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613" w:type="pct"/>
            <w:noWrap w:val="0"/>
            <w:vAlign w:val="center"/>
          </w:tcPr>
          <w:p w14:paraId="6A0A83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0984BE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分）</w:t>
            </w:r>
          </w:p>
        </w:tc>
        <w:tc>
          <w:tcPr>
            <w:tcW w:w="4386" w:type="pct"/>
            <w:gridSpan w:val="3"/>
            <w:noWrap w:val="0"/>
            <w:vAlign w:val="center"/>
          </w:tcPr>
          <w:p w14:paraId="79A6E99C">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采购人设置</w:t>
            </w:r>
            <w:r>
              <w:rPr>
                <w:rFonts w:hint="eastAsia" w:ascii="宋体" w:hAnsi="宋体" w:eastAsia="宋体" w:cs="宋体"/>
                <w:b/>
                <w:bCs/>
                <w:color w:val="auto"/>
                <w:sz w:val="24"/>
                <w:szCs w:val="24"/>
                <w:highlight w:val="none"/>
                <w:lang w:eastAsia="zh-CN" w:bidi="ar"/>
              </w:rPr>
              <w:t>限价（折扣率）</w:t>
            </w:r>
            <w:r>
              <w:rPr>
                <w:rFonts w:hint="eastAsia" w:ascii="宋体" w:hAnsi="宋体" w:eastAsia="宋体" w:cs="宋体"/>
                <w:b/>
                <w:bCs/>
                <w:color w:val="auto"/>
                <w:sz w:val="24"/>
                <w:szCs w:val="24"/>
                <w:highlight w:val="none"/>
                <w:lang w:val="en-US" w:eastAsia="zh-CN" w:bidi="ar"/>
              </w:rPr>
              <w:t>25%</w:t>
            </w:r>
            <w:r>
              <w:rPr>
                <w:rFonts w:hint="eastAsia" w:ascii="宋体" w:hAnsi="宋体" w:eastAsia="宋体" w:cs="宋体"/>
                <w:b/>
                <w:bCs/>
                <w:color w:val="auto"/>
                <w:kern w:val="0"/>
                <w:sz w:val="24"/>
                <w:szCs w:val="24"/>
                <w:highlight w:val="none"/>
                <w:lang w:bidi="ar"/>
              </w:rPr>
              <w:t>，各投标人有效报价不得</w:t>
            </w:r>
            <w:r>
              <w:rPr>
                <w:rFonts w:hint="eastAsia" w:ascii="宋体" w:hAnsi="宋体" w:eastAsia="宋体" w:cs="宋体"/>
                <w:b/>
                <w:bCs/>
                <w:color w:val="auto"/>
                <w:kern w:val="0"/>
                <w:sz w:val="24"/>
                <w:szCs w:val="24"/>
                <w:highlight w:val="none"/>
                <w:lang w:val="en-US" w:eastAsia="zh-CN" w:bidi="ar"/>
              </w:rPr>
              <w:t>低于25%</w:t>
            </w:r>
            <w:r>
              <w:rPr>
                <w:rFonts w:hint="eastAsia" w:ascii="宋体" w:hAnsi="宋体" w:eastAsia="宋体" w:cs="宋体"/>
                <w:color w:val="auto"/>
                <w:kern w:val="0"/>
                <w:sz w:val="24"/>
                <w:szCs w:val="24"/>
                <w:highlight w:val="none"/>
                <w:lang w:bidi="ar"/>
              </w:rPr>
              <w:t>，否则，其投标文件按无效标处理。</w:t>
            </w:r>
          </w:p>
          <w:p w14:paraId="72829E98">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（1）评标基准价=所有有效投标人的</w:t>
            </w:r>
            <w:r>
              <w:rPr>
                <w:rFonts w:hint="eastAsia" w:ascii="宋体" w:hAnsi="宋体" w:eastAsia="宋体" w:cs="宋体"/>
                <w:b/>
                <w:bCs/>
                <w:color w:val="auto"/>
                <w:kern w:val="0"/>
                <w:sz w:val="24"/>
                <w:szCs w:val="24"/>
                <w:highlight w:val="none"/>
                <w:lang w:val="en-US" w:eastAsia="zh-CN" w:bidi="ar"/>
              </w:rPr>
              <w:t>最高</w:t>
            </w:r>
            <w:r>
              <w:rPr>
                <w:rFonts w:hint="eastAsia" w:ascii="宋体" w:hAnsi="宋体" w:eastAsia="宋体" w:cs="宋体"/>
                <w:b/>
                <w:bCs/>
                <w:color w:val="auto"/>
                <w:kern w:val="0"/>
                <w:sz w:val="24"/>
                <w:szCs w:val="24"/>
                <w:highlight w:val="none"/>
                <w:lang w:bidi="ar"/>
              </w:rPr>
              <w:t>报价</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sz w:val="24"/>
                <w:szCs w:val="24"/>
                <w:highlight w:val="none"/>
                <w:lang w:eastAsia="zh-CN" w:bidi="ar"/>
              </w:rPr>
              <w:t>折扣率</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；其得分为满分；</w:t>
            </w:r>
          </w:p>
          <w:p w14:paraId="2D76D16B">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b/>
                <w:bCs/>
                <w:color w:val="auto"/>
                <w:kern w:val="0"/>
                <w:sz w:val="24"/>
                <w:szCs w:val="24"/>
                <w:highlight w:val="none"/>
                <w:lang w:bidi="ar"/>
              </w:rPr>
              <w:t>其它报价得分=投标报价</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sz w:val="24"/>
                <w:szCs w:val="24"/>
                <w:highlight w:val="none"/>
                <w:lang w:eastAsia="zh-CN" w:bidi="ar"/>
              </w:rPr>
              <w:t>折扣率</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/评标基准价×</w:t>
            </w:r>
            <w:r>
              <w:rPr>
                <w:rFonts w:hint="eastAsia" w:ascii="宋体" w:hAnsi="宋体" w:eastAsia="宋体" w:cs="宋体"/>
                <w:b/>
                <w:bCs/>
                <w:color w:val="auto"/>
                <w:kern w:val="0"/>
                <w:sz w:val="24"/>
                <w:szCs w:val="24"/>
                <w:highlight w:val="none"/>
                <w:lang w:val="en-US" w:eastAsia="zh-CN" w:bidi="ar"/>
              </w:rPr>
              <w:t>20</w:t>
            </w:r>
            <w:r>
              <w:rPr>
                <w:rFonts w:hint="eastAsia" w:ascii="宋体" w:hAnsi="宋体" w:eastAsia="宋体" w:cs="宋体"/>
                <w:b/>
                <w:bCs/>
                <w:color w:val="auto"/>
                <w:kern w:val="0"/>
                <w:sz w:val="24"/>
                <w:szCs w:val="24"/>
                <w:highlight w:val="none"/>
                <w:lang w:bidi="ar"/>
              </w:rPr>
              <w:t>分</w:t>
            </w:r>
            <w:r>
              <w:rPr>
                <w:rFonts w:hint="eastAsia" w:ascii="宋体" w:hAnsi="宋体" w:eastAsia="宋体" w:cs="宋体"/>
                <w:color w:val="auto"/>
                <w:kern w:val="0"/>
                <w:sz w:val="24"/>
                <w:szCs w:val="24"/>
                <w:highlight w:val="none"/>
                <w:lang w:bidi="ar"/>
              </w:rPr>
              <w:t>，小数点后保留二位小数，第三位四舍五入。</w:t>
            </w:r>
          </w:p>
          <w:p w14:paraId="630CFC46">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（3）本项分值由评标委员会负责组织计算。</w:t>
            </w:r>
          </w:p>
        </w:tc>
      </w:tr>
    </w:tbl>
    <w:p w14:paraId="649EBF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5C2599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95A99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4B5BC3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9E22BB8">
      <w:pPr>
        <w:spacing w:line="360" w:lineRule="auto"/>
        <w:jc w:val="center"/>
        <w:outlineLvl w:val="0"/>
        <w:rPr>
          <w:rFonts w:hint="eastAsia" w:asciiTheme="minorEastAsia" w:hAnsiTheme="minorEastAsia" w:eastAsiaTheme="minorEastAsia"/>
          <w:b/>
          <w:color w:val="auto"/>
          <w:sz w:val="28"/>
          <w:highlight w:val="none"/>
          <w:lang w:eastAsia="zh-CN"/>
        </w:rPr>
      </w:pPr>
      <w:bookmarkStart w:id="59"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9"/>
    </w:p>
    <w:p w14:paraId="3467FE52">
      <w:pPr>
        <w:spacing w:line="480" w:lineRule="auto"/>
        <w:jc w:val="center"/>
        <w:outlineLvl w:val="9"/>
        <w:rPr>
          <w:rFonts w:cs="Times New Roman" w:asciiTheme="minorEastAsia" w:hAnsiTheme="minorEastAsia" w:eastAsiaTheme="minorEastAsia"/>
          <w:b/>
          <w:color w:val="auto"/>
          <w:sz w:val="28"/>
          <w:szCs w:val="28"/>
          <w:highlight w:val="none"/>
        </w:rPr>
      </w:pPr>
      <w:bookmarkStart w:id="60" w:name="_Toc331685784"/>
    </w:p>
    <w:p w14:paraId="3AA1F80E">
      <w:pPr>
        <w:spacing w:line="480" w:lineRule="auto"/>
        <w:jc w:val="center"/>
        <w:outlineLvl w:val="9"/>
        <w:rPr>
          <w:rFonts w:cs="Times New Roman" w:asciiTheme="minorEastAsia" w:hAnsiTheme="minorEastAsia" w:eastAsiaTheme="minorEastAsia"/>
          <w:b/>
          <w:color w:val="auto"/>
          <w:sz w:val="28"/>
          <w:szCs w:val="28"/>
          <w:highlight w:val="none"/>
        </w:rPr>
      </w:pPr>
    </w:p>
    <w:p w14:paraId="136074D2">
      <w:pPr>
        <w:pStyle w:val="8"/>
        <w:rPr>
          <w:color w:val="auto"/>
          <w:highlight w:val="none"/>
        </w:rPr>
      </w:pPr>
    </w:p>
    <w:p w14:paraId="26872B5B">
      <w:pPr>
        <w:pStyle w:val="8"/>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40CFB09">
      <w:pPr>
        <w:spacing w:line="480" w:lineRule="auto"/>
        <w:jc w:val="center"/>
        <w:rPr>
          <w:rFonts w:cs="Times New Roman" w:asciiTheme="minorEastAsia" w:hAnsiTheme="minorEastAsia" w:eastAsiaTheme="minorEastAsia"/>
          <w:b/>
          <w:color w:val="auto"/>
          <w:sz w:val="24"/>
          <w:szCs w:val="24"/>
          <w:highlight w:val="none"/>
        </w:rPr>
      </w:pPr>
    </w:p>
    <w:p w14:paraId="55BFF498">
      <w:pPr>
        <w:spacing w:line="480" w:lineRule="auto"/>
        <w:jc w:val="center"/>
        <w:rPr>
          <w:rFonts w:cs="Times New Roman" w:asciiTheme="minorEastAsia" w:hAnsiTheme="minorEastAsia" w:eastAsiaTheme="minorEastAsia"/>
          <w:b/>
          <w:color w:val="auto"/>
          <w:sz w:val="24"/>
          <w:szCs w:val="24"/>
          <w:highlight w:val="none"/>
        </w:rPr>
      </w:pPr>
    </w:p>
    <w:p w14:paraId="00CAA0A5">
      <w:pPr>
        <w:spacing w:line="480" w:lineRule="auto"/>
        <w:jc w:val="center"/>
        <w:rPr>
          <w:rFonts w:cs="Times New Roman" w:asciiTheme="minorEastAsia" w:hAnsiTheme="minorEastAsia" w:eastAsiaTheme="minorEastAsia"/>
          <w:b/>
          <w:color w:val="auto"/>
          <w:sz w:val="24"/>
          <w:szCs w:val="24"/>
          <w:highlight w:val="none"/>
        </w:rPr>
      </w:pPr>
    </w:p>
    <w:p w14:paraId="350F0F5D">
      <w:pPr>
        <w:spacing w:line="360" w:lineRule="auto"/>
        <w:jc w:val="center"/>
        <w:outlineLvl w:val="1"/>
        <w:rPr>
          <w:rFonts w:asciiTheme="minorEastAsia" w:hAnsiTheme="minorEastAsia" w:eastAsiaTheme="minorEastAsia"/>
          <w:b/>
          <w:color w:val="auto"/>
          <w:sz w:val="24"/>
          <w:highlight w:val="none"/>
        </w:rPr>
      </w:pPr>
      <w:bookmarkStart w:id="61" w:name="_Toc2449"/>
      <w:r>
        <w:rPr>
          <w:rFonts w:hint="eastAsia" w:asciiTheme="minorEastAsia" w:hAnsiTheme="minorEastAsia" w:eastAsiaTheme="minorEastAsia"/>
          <w:b/>
          <w:color w:val="auto"/>
          <w:sz w:val="24"/>
          <w:highlight w:val="none"/>
        </w:rPr>
        <w:t>第一部分 合同书</w:t>
      </w:r>
      <w:bookmarkEnd w:id="61"/>
    </w:p>
    <w:p w14:paraId="7125BCA4">
      <w:pPr>
        <w:spacing w:line="480" w:lineRule="auto"/>
        <w:jc w:val="center"/>
        <w:rPr>
          <w:rFonts w:cs="Times New Roman" w:asciiTheme="minorEastAsia" w:hAnsiTheme="minorEastAsia" w:eastAsiaTheme="minorEastAsia"/>
          <w:b/>
          <w:color w:val="auto"/>
          <w:sz w:val="24"/>
          <w:szCs w:val="24"/>
          <w:highlight w:val="none"/>
        </w:rPr>
      </w:pPr>
    </w:p>
    <w:p w14:paraId="0450391B">
      <w:pPr>
        <w:spacing w:line="480" w:lineRule="auto"/>
        <w:jc w:val="center"/>
        <w:rPr>
          <w:rFonts w:cs="Times New Roman" w:asciiTheme="minorEastAsia" w:hAnsiTheme="minorEastAsia" w:eastAsiaTheme="minorEastAsia"/>
          <w:b/>
          <w:color w:val="auto"/>
          <w:sz w:val="24"/>
          <w:szCs w:val="24"/>
          <w:highlight w:val="none"/>
        </w:rPr>
      </w:pPr>
    </w:p>
    <w:p w14:paraId="7F8FA7D6">
      <w:pPr>
        <w:pStyle w:val="8"/>
        <w:rPr>
          <w:color w:val="auto"/>
          <w:highlight w:val="none"/>
        </w:rPr>
      </w:pPr>
    </w:p>
    <w:p w14:paraId="6694D951">
      <w:pPr>
        <w:pStyle w:val="8"/>
        <w:rPr>
          <w:color w:val="auto"/>
          <w:highlight w:val="none"/>
        </w:rPr>
      </w:pPr>
    </w:p>
    <w:p w14:paraId="6DFD9FEC">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p>
    <w:p w14:paraId="026B1F55">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p>
    <w:p w14:paraId="10AEC6D7">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p>
    <w:p w14:paraId="23E278CD">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6C50A6CB">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p>
    <w:p w14:paraId="36147CE0">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A3DEBBB">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E614C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77B4257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AFC41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2" w:name="_Toc3029"/>
      <w:bookmarkStart w:id="63" w:name="_Toc24059"/>
      <w:bookmarkStart w:id="64" w:name="_Toc2232"/>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62"/>
      <w:bookmarkEnd w:id="63"/>
      <w:bookmarkEnd w:id="64"/>
    </w:p>
    <w:p w14:paraId="5D4357B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8E2A1BE">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E9029B7">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02365254">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1C06C5C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4C40EAD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6A2DD0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5" w:name="_Toc22185"/>
      <w:bookmarkStart w:id="66" w:name="_Toc6311"/>
      <w:bookmarkStart w:id="67" w:name="_Toc2918"/>
      <w:bookmarkStart w:id="68" w:name="_Toc6773"/>
      <w:bookmarkStart w:id="69" w:name="_Toc18585"/>
      <w:r>
        <w:rPr>
          <w:rFonts w:hint="eastAsia" w:cs="Times New Roman" w:asciiTheme="minorEastAsia" w:hAnsiTheme="minorEastAsia" w:eastAsiaTheme="minorEastAsia"/>
          <w:b/>
          <w:bCs/>
          <w:color w:val="auto"/>
          <w:sz w:val="24"/>
          <w:szCs w:val="24"/>
          <w:highlight w:val="none"/>
          <w:lang w:val="zh-CN"/>
        </w:rPr>
        <w:t xml:space="preserve">1.2 </w:t>
      </w:r>
      <w:bookmarkEnd w:id="65"/>
      <w:bookmarkEnd w:id="66"/>
      <w:bookmarkEnd w:id="67"/>
      <w:bookmarkEnd w:id="68"/>
      <w:bookmarkEnd w:id="69"/>
      <w:r>
        <w:rPr>
          <w:rFonts w:hint="eastAsia" w:cs="Times New Roman" w:asciiTheme="minorEastAsia" w:hAnsiTheme="minorEastAsia" w:eastAsiaTheme="minorEastAsia"/>
          <w:b/>
          <w:bCs/>
          <w:color w:val="auto"/>
          <w:sz w:val="24"/>
          <w:szCs w:val="24"/>
          <w:highlight w:val="none"/>
          <w:lang w:val="zh-CN"/>
        </w:rPr>
        <w:t>服务</w:t>
      </w:r>
    </w:p>
    <w:p w14:paraId="02B08CAD">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05D97A0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kern w:val="2"/>
          <w:sz w:val="24"/>
          <w:szCs w:val="24"/>
          <w:highlight w:val="none"/>
          <w:u w:val="single"/>
          <w:lang w:val="en-US" w:eastAsia="zh-CN" w:bidi="ar"/>
        </w:rPr>
        <w:t>招标文件第三章采购需求全部内容</w:t>
      </w:r>
      <w:r>
        <w:rPr>
          <w:rFonts w:hint="eastAsia" w:ascii="宋体" w:hAnsi="宋体" w:eastAsia="宋体" w:cs="宋体"/>
          <w:color w:val="auto"/>
          <w:kern w:val="2"/>
          <w:sz w:val="24"/>
          <w:szCs w:val="24"/>
          <w:highlight w:val="none"/>
          <w:lang w:val="en-US" w:eastAsia="zh-CN" w:bidi="ar"/>
        </w:rPr>
        <w:t>；</w:t>
      </w:r>
    </w:p>
    <w:p w14:paraId="788CC58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宋体"/>
          <w:color w:val="auto"/>
          <w:kern w:val="2"/>
          <w:sz w:val="24"/>
          <w:szCs w:val="24"/>
          <w:highlight w:val="none"/>
          <w:u w:val="single"/>
          <w:lang w:val="en-US" w:eastAsia="zh-CN" w:bidi="ar"/>
        </w:rPr>
        <w:t>满足招标文件要求及采购人相关要求</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2A5BB48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0" w:name="_Toc21551"/>
      <w:bookmarkStart w:id="71" w:name="_Toc21631"/>
      <w:bookmarkStart w:id="72"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70"/>
      <w:bookmarkEnd w:id="71"/>
      <w:bookmarkEnd w:id="72"/>
    </w:p>
    <w:p w14:paraId="24C02CE4">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折扣率</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rPr>
        <w:t>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（大写：</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w:t>
      </w:r>
    </w:p>
    <w:p w14:paraId="3779207A">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25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A079E07">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6706EFAD">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76A5E49F">
            <w:pPr>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32E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B4B7DAD">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46C090B7">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5D05B27">
            <w:pPr>
              <w:ind w:firstLine="200"/>
              <w:jc w:val="center"/>
              <w:rPr>
                <w:rFonts w:cs="Times New Roman" w:asciiTheme="minorEastAsia" w:hAnsiTheme="minorEastAsia" w:eastAsiaTheme="minorEastAsia"/>
                <w:color w:val="auto"/>
                <w:sz w:val="24"/>
                <w:szCs w:val="24"/>
                <w:highlight w:val="none"/>
              </w:rPr>
            </w:pPr>
          </w:p>
        </w:tc>
      </w:tr>
      <w:tr w14:paraId="21B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2F16C6">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59EC4B84">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C3AD64">
            <w:pPr>
              <w:ind w:firstLine="200"/>
              <w:jc w:val="center"/>
              <w:rPr>
                <w:rFonts w:cs="Times New Roman" w:asciiTheme="minorEastAsia" w:hAnsiTheme="minorEastAsia" w:eastAsiaTheme="minorEastAsia"/>
                <w:color w:val="auto"/>
                <w:sz w:val="24"/>
                <w:szCs w:val="24"/>
                <w:highlight w:val="none"/>
              </w:rPr>
            </w:pPr>
          </w:p>
        </w:tc>
      </w:tr>
      <w:tr w14:paraId="56B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063B22D">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176AAF3A">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6F00F28">
            <w:pPr>
              <w:ind w:firstLine="200"/>
              <w:jc w:val="center"/>
              <w:rPr>
                <w:rFonts w:cs="Times New Roman" w:asciiTheme="minorEastAsia" w:hAnsiTheme="minorEastAsia" w:eastAsiaTheme="minorEastAsia"/>
                <w:color w:val="auto"/>
                <w:sz w:val="24"/>
                <w:szCs w:val="24"/>
                <w:highlight w:val="none"/>
              </w:rPr>
            </w:pPr>
          </w:p>
        </w:tc>
      </w:tr>
      <w:tr w14:paraId="7256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2407D2">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6A83FB12">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21AB8C3">
            <w:pPr>
              <w:ind w:firstLine="200"/>
              <w:jc w:val="center"/>
              <w:rPr>
                <w:rFonts w:cs="Times New Roman" w:asciiTheme="minorEastAsia" w:hAnsiTheme="minorEastAsia" w:eastAsiaTheme="minorEastAsia"/>
                <w:color w:val="auto"/>
                <w:sz w:val="24"/>
                <w:szCs w:val="24"/>
                <w:highlight w:val="none"/>
              </w:rPr>
            </w:pPr>
          </w:p>
        </w:tc>
      </w:tr>
      <w:tr w14:paraId="2BBC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83C6285">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04368E3E">
            <w:pPr>
              <w:ind w:firstLine="200"/>
              <w:jc w:val="center"/>
              <w:rPr>
                <w:rFonts w:cs="Times New Roman" w:asciiTheme="minorEastAsia" w:hAnsiTheme="minorEastAsia" w:eastAsiaTheme="minorEastAsia"/>
                <w:color w:val="auto"/>
                <w:sz w:val="24"/>
                <w:szCs w:val="24"/>
                <w:highlight w:val="none"/>
              </w:rPr>
            </w:pPr>
          </w:p>
        </w:tc>
      </w:tr>
    </w:tbl>
    <w:p w14:paraId="15672FC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3" w:name="_Toc10340"/>
      <w:bookmarkStart w:id="74" w:name="_Toc1814"/>
      <w:bookmarkStart w:id="75" w:name="_Toc22618"/>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73"/>
      <w:bookmarkEnd w:id="74"/>
      <w:bookmarkEnd w:id="75"/>
    </w:p>
    <w:p w14:paraId="675BC05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44744C2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96871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6" w:name="_Toc2846"/>
      <w:bookmarkStart w:id="77" w:name="_Toc32071"/>
      <w:bookmarkStart w:id="78" w:name="_Toc1930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6"/>
      <w:bookmarkEnd w:id="77"/>
      <w:bookmarkEnd w:id="78"/>
    </w:p>
    <w:p w14:paraId="4603405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3BAB21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81BE40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71137BA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9" w:name="_Toc19554"/>
      <w:bookmarkStart w:id="80" w:name="_Toc21423"/>
      <w:bookmarkStart w:id="81" w:name="_Toc27250"/>
      <w:r>
        <w:rPr>
          <w:rFonts w:hint="eastAsia" w:cs="Times New Roman" w:asciiTheme="minorEastAsia" w:hAnsiTheme="minorEastAsia" w:eastAsiaTheme="minorEastAsia"/>
          <w:b/>
          <w:bCs/>
          <w:color w:val="auto"/>
          <w:sz w:val="24"/>
          <w:szCs w:val="24"/>
          <w:highlight w:val="none"/>
          <w:lang w:val="zh-CN"/>
        </w:rPr>
        <w:t>1.6 违约责任</w:t>
      </w:r>
      <w:bookmarkEnd w:id="79"/>
      <w:bookmarkEnd w:id="80"/>
      <w:bookmarkEnd w:id="81"/>
    </w:p>
    <w:p w14:paraId="1AD3502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bookmarkStart w:id="82" w:name="_Toc15583"/>
      <w:bookmarkStart w:id="83" w:name="_Toc16021"/>
      <w:bookmarkStart w:id="84" w:name="_Toc28375"/>
      <w:r>
        <w:rPr>
          <w:rFonts w:hint="eastAsia" w:ascii="宋体" w:hAnsi="宋体" w:eastAsia="宋体" w:cs="宋体"/>
          <w:color w:val="auto"/>
          <w:kern w:val="2"/>
          <w:sz w:val="24"/>
          <w:szCs w:val="24"/>
          <w:highlight w:val="none"/>
          <w:lang w:val="en-US" w:eastAsia="zh-CN"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0.1</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宋体"/>
          <w:color w:val="auto"/>
          <w:kern w:val="2"/>
          <w:sz w:val="24"/>
          <w:szCs w:val="24"/>
          <w:highlight w:val="none"/>
          <w:u w:val="single"/>
          <w:lang w:val="en-US" w:eastAsia="zh-CN" w:bidi="ar"/>
        </w:rPr>
        <w:t>10</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；迟延履行的违约金计算数额达到前述最高限额之日起，甲方有权在要求乙方支付违约金的同时，书面通知乙方解除本合同；</w:t>
      </w:r>
    </w:p>
    <w:p w14:paraId="68D8ED9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kern w:val="2"/>
          <w:sz w:val="24"/>
          <w:szCs w:val="24"/>
          <w:highlight w:val="none"/>
          <w:u w:val="single"/>
          <w:lang w:val="en-US" w:eastAsia="zh-CN" w:bidi="ar"/>
        </w:rPr>
        <w:t>0.1</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宋体"/>
          <w:color w:val="auto"/>
          <w:kern w:val="2"/>
          <w:sz w:val="24"/>
          <w:szCs w:val="24"/>
          <w:highlight w:val="none"/>
          <w:u w:val="single"/>
          <w:lang w:val="en-US" w:eastAsia="zh-CN" w:bidi="ar"/>
        </w:rPr>
        <w:t>10</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；迟延付款的违约金计算数额达到前述最高限额之日起，乙方有权在要求甲方支付违约金的同时，书面通知甲方解除本合同；</w:t>
      </w:r>
    </w:p>
    <w:p w14:paraId="19F47ED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61C1A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40198A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C5EEB1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1.6.6如果出现政府采购监督管理部门在处理投诉事项期间，书面通知甲方暂停采购活动的情形，或者询问或质疑事项可能影响中标（成交）结果的，导致甲方中止履行合同的情形，均不视为甲方违约。</w:t>
      </w:r>
    </w:p>
    <w:p w14:paraId="4650840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1.6.7因甲方未按合同约定支付价款、未按合同约定受领标的物、擅自解除合同</w:t>
      </w:r>
      <w:r>
        <w:rPr>
          <w:rFonts w:hint="eastAsia" w:ascii="宋体" w:hAnsi="宋体" w:eastAsia="宋体" w:cs="宋体"/>
          <w:color w:val="auto"/>
          <w:kern w:val="2"/>
          <w:sz w:val="24"/>
          <w:szCs w:val="24"/>
          <w:highlight w:val="none"/>
          <w:lang w:val="en-US" w:eastAsia="zh-CN" w:bidi="ar"/>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41C5944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82"/>
      <w:bookmarkEnd w:id="83"/>
      <w:bookmarkEnd w:id="84"/>
    </w:p>
    <w:p w14:paraId="3568D2E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7E3306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2D1B013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2407D7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5" w:name="_Toc7245"/>
      <w:bookmarkStart w:id="86" w:name="_Toc15322"/>
      <w:bookmarkStart w:id="87" w:name="_Toc11173"/>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85"/>
      <w:bookmarkEnd w:id="86"/>
      <w:bookmarkEnd w:id="87"/>
    </w:p>
    <w:p w14:paraId="7BCC4997">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018F003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1394764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22058FE1">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68D163CD">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36CB1EF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070CA9D">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01CC75B0">
      <w:pPr>
        <w:widowControl/>
        <w:spacing w:line="560" w:lineRule="exact"/>
        <w:jc w:val="left"/>
        <w:rPr>
          <w:rFonts w:cs="Times New Roman" w:asciiTheme="minorEastAsia" w:hAnsiTheme="minorEastAsia" w:eastAsiaTheme="minorEastAsia"/>
          <w:bCs/>
          <w:color w:val="auto"/>
          <w:sz w:val="24"/>
          <w:szCs w:val="24"/>
          <w:highlight w:val="none"/>
        </w:rPr>
      </w:pPr>
      <w:bookmarkStart w:id="88"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FC5061F">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89" w:name="_Hlk110099149"/>
      <w:r>
        <w:rPr>
          <w:rFonts w:hint="eastAsia" w:ascii="宋体" w:hAnsi="宋体" w:eastAsia="宋体"/>
          <w:color w:val="auto"/>
          <w:sz w:val="24"/>
          <w:szCs w:val="24"/>
          <w:highlight w:val="none"/>
        </w:rPr>
        <w:t>乙方账户信息</w:t>
      </w:r>
    </w:p>
    <w:p w14:paraId="7B7BC55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202B0FF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F31272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89"/>
    <w:p w14:paraId="33323D2B">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6035A12B">
      <w:pPr>
        <w:spacing w:line="360" w:lineRule="auto"/>
        <w:jc w:val="center"/>
        <w:outlineLvl w:val="1"/>
        <w:rPr>
          <w:rFonts w:asciiTheme="minorEastAsia" w:hAnsiTheme="minorEastAsia" w:eastAsiaTheme="minorEastAsia"/>
          <w:b/>
          <w:color w:val="auto"/>
          <w:sz w:val="24"/>
          <w:highlight w:val="none"/>
        </w:rPr>
      </w:pPr>
      <w:bookmarkStart w:id="90"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88"/>
      <w:bookmarkEnd w:id="90"/>
    </w:p>
    <w:p w14:paraId="3E5CCFFF">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1" w:name="_Toc16917"/>
      <w:bookmarkStart w:id="92" w:name="_Ref467379214"/>
      <w:bookmarkStart w:id="93" w:name="_Ref467379101"/>
      <w:bookmarkStart w:id="94" w:name="_Ref467378404"/>
      <w:bookmarkStart w:id="95" w:name="_Toc487900349"/>
      <w:bookmarkStart w:id="96" w:name="_Ref467378499"/>
      <w:bookmarkStart w:id="97" w:name="_Ref467379205"/>
      <w:bookmarkStart w:id="98" w:name="_Ref467379225"/>
      <w:bookmarkStart w:id="99" w:name="_Toc28763"/>
      <w:bookmarkStart w:id="100" w:name="_Ref467379109"/>
      <w:bookmarkStart w:id="101" w:name="_Toc279701240"/>
      <w:bookmarkStart w:id="102" w:name="_Ref467379195"/>
      <w:bookmarkStart w:id="103" w:name="_Toc259093669"/>
      <w:bookmarkStart w:id="104" w:name="_Toc19614"/>
      <w:bookmarkStart w:id="105" w:name="_Ref467379094"/>
      <w:bookmarkStart w:id="106" w:name="_Ref4673784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8B093C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563008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1260D2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1BB58E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B877A5A">
      <w:pPr>
        <w:spacing w:line="360" w:lineRule="auto"/>
        <w:ind w:firstLine="435"/>
        <w:rPr>
          <w:rFonts w:cs="Times New Roman" w:asciiTheme="minorEastAsia" w:hAnsiTheme="minorEastAsia" w:eastAsiaTheme="minorEastAsia"/>
          <w:color w:val="auto"/>
          <w:sz w:val="24"/>
          <w:szCs w:val="24"/>
          <w:highlight w:val="none"/>
        </w:rPr>
      </w:pPr>
      <w:bookmarkStart w:id="107"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7"/>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51109731">
      <w:pPr>
        <w:spacing w:line="360" w:lineRule="auto"/>
        <w:ind w:firstLine="435"/>
        <w:rPr>
          <w:rFonts w:cs="Times New Roman" w:asciiTheme="minorEastAsia" w:hAnsiTheme="minorEastAsia" w:eastAsiaTheme="minorEastAsia"/>
          <w:color w:val="auto"/>
          <w:sz w:val="24"/>
          <w:szCs w:val="24"/>
          <w:highlight w:val="none"/>
        </w:rPr>
      </w:pPr>
      <w:bookmarkStart w:id="108"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8"/>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DB9B46">
      <w:pPr>
        <w:spacing w:line="360" w:lineRule="auto"/>
        <w:ind w:firstLine="435"/>
        <w:rPr>
          <w:rFonts w:cs="Times New Roman" w:asciiTheme="minorEastAsia" w:hAnsiTheme="minorEastAsia" w:eastAsiaTheme="minorEastAsia"/>
          <w:color w:val="auto"/>
          <w:sz w:val="24"/>
          <w:szCs w:val="24"/>
          <w:highlight w:val="none"/>
        </w:rPr>
      </w:pPr>
      <w:bookmarkStart w:id="109"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9"/>
    </w:p>
    <w:p w14:paraId="278CAAF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0" w:name="_Toc13336"/>
      <w:bookmarkStart w:id="111" w:name="_Toc27635"/>
      <w:bookmarkStart w:id="112" w:name="_Toc32504"/>
      <w:bookmarkStart w:id="113" w:name="_Toc487900350"/>
      <w:bookmarkStart w:id="114" w:name="_Toc259093670"/>
      <w:bookmarkStart w:id="115" w:name="_Toc27970124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10"/>
      <w:bookmarkEnd w:id="111"/>
      <w:bookmarkEnd w:id="112"/>
      <w:bookmarkEnd w:id="113"/>
      <w:bookmarkEnd w:id="114"/>
      <w:bookmarkEnd w:id="115"/>
    </w:p>
    <w:p w14:paraId="300860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2F1C1CB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6" w:name="_Toc259093671"/>
      <w:bookmarkStart w:id="117" w:name="_Toc9829"/>
      <w:bookmarkStart w:id="118" w:name="_Toc27853"/>
      <w:bookmarkStart w:id="119" w:name="_Toc487900351"/>
      <w:bookmarkStart w:id="120" w:name="_Toc279701242"/>
      <w:bookmarkStart w:id="121" w:name="_Toc3163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16"/>
      <w:bookmarkEnd w:id="117"/>
      <w:bookmarkEnd w:id="118"/>
      <w:bookmarkEnd w:id="119"/>
      <w:bookmarkEnd w:id="120"/>
      <w:bookmarkEnd w:id="121"/>
    </w:p>
    <w:p w14:paraId="234AB67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321D5DE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6CD55CD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2" w:name="_Toc259093674"/>
      <w:bookmarkStart w:id="123" w:name="_Ref467379536"/>
      <w:bookmarkStart w:id="124" w:name="_Ref467379527"/>
      <w:bookmarkStart w:id="125" w:name="_Ref467379542"/>
      <w:bookmarkStart w:id="126" w:name="_Toc487900354"/>
      <w:bookmarkStart w:id="127" w:name="_Ref467378591"/>
      <w:bookmarkStart w:id="128" w:name="_Toc279701245"/>
      <w:bookmarkStart w:id="129" w:name="_Ref467378541"/>
      <w:bookmarkStart w:id="130" w:name="_Toc19074"/>
      <w:bookmarkStart w:id="131" w:name="_Toc26182"/>
      <w:bookmarkStart w:id="132" w:name="_Toc30272"/>
      <w:r>
        <w:rPr>
          <w:rFonts w:hint="eastAsia" w:cs="Times New Roman" w:asciiTheme="minorEastAsia" w:hAnsiTheme="minorEastAsia" w:eastAsiaTheme="minorEastAsia"/>
          <w:b/>
          <w:bCs/>
          <w:color w:val="auto"/>
          <w:sz w:val="24"/>
          <w:szCs w:val="24"/>
          <w:highlight w:val="none"/>
          <w:lang w:val="zh-CN"/>
        </w:rPr>
        <w:t>2.</w:t>
      </w:r>
      <w:bookmarkEnd w:id="122"/>
      <w:bookmarkEnd w:id="123"/>
      <w:bookmarkEnd w:id="124"/>
      <w:bookmarkEnd w:id="125"/>
      <w:bookmarkEnd w:id="126"/>
      <w:bookmarkEnd w:id="127"/>
      <w:bookmarkEnd w:id="128"/>
      <w:bookmarkEnd w:id="129"/>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30"/>
      <w:bookmarkEnd w:id="131"/>
      <w:bookmarkEnd w:id="132"/>
    </w:p>
    <w:p w14:paraId="2FE8FA85">
      <w:pPr>
        <w:spacing w:line="360" w:lineRule="auto"/>
        <w:ind w:firstLine="435"/>
        <w:rPr>
          <w:rFonts w:cs="Times New Roman" w:asciiTheme="minorEastAsia" w:hAnsiTheme="minorEastAsia" w:eastAsiaTheme="minorEastAsia"/>
          <w:color w:val="auto"/>
          <w:sz w:val="24"/>
          <w:szCs w:val="24"/>
          <w:highlight w:val="none"/>
        </w:rPr>
      </w:pPr>
      <w:bookmarkStart w:id="133" w:name="_Toc186431854"/>
      <w:bookmarkStart w:id="134" w:name="_Toc279701247"/>
      <w:bookmarkStart w:id="135" w:name="_Toc487900357"/>
      <w:bookmarkStart w:id="136" w:name="_Ref467379793"/>
      <w:bookmarkStart w:id="137" w:name="_Ref467379807"/>
      <w:bookmarkStart w:id="138" w:name="_Toc259093676"/>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4806AF0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33"/>
      <w:bookmarkStart w:id="139" w:name="_Toc186431855"/>
      <w:r>
        <w:rPr>
          <w:rFonts w:hint="eastAsia" w:cs="Times New Roman" w:asciiTheme="minorEastAsia" w:hAnsiTheme="minorEastAsia" w:eastAsiaTheme="minorEastAsia"/>
          <w:color w:val="auto"/>
          <w:sz w:val="24"/>
          <w:szCs w:val="24"/>
          <w:highlight w:val="none"/>
        </w:rPr>
        <w:t>。</w:t>
      </w:r>
    </w:p>
    <w:bookmarkEnd w:id="139"/>
    <w:p w14:paraId="01FB6C6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0" w:name="_Toc7836"/>
      <w:bookmarkStart w:id="141" w:name="_Toc19219"/>
      <w:bookmarkStart w:id="142" w:name="_Toc284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34"/>
      <w:bookmarkEnd w:id="135"/>
      <w:bookmarkEnd w:id="136"/>
      <w:bookmarkEnd w:id="137"/>
      <w:bookmarkEnd w:id="138"/>
      <w:bookmarkEnd w:id="140"/>
      <w:bookmarkEnd w:id="141"/>
      <w:bookmarkEnd w:id="142"/>
    </w:p>
    <w:p w14:paraId="4B7B722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52A1C7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3" w:name="_Ref467379923"/>
      <w:bookmarkStart w:id="144" w:name="_Ref467379852"/>
      <w:bookmarkStart w:id="145" w:name="_Toc487900358"/>
      <w:bookmarkStart w:id="146" w:name="_Ref467379863"/>
      <w:bookmarkStart w:id="147" w:name="_Toc259093677"/>
      <w:bookmarkStart w:id="148" w:name="_Toc279701248"/>
      <w:bookmarkStart w:id="149" w:name="_Toc16110"/>
      <w:bookmarkStart w:id="150" w:name="_Toc774"/>
      <w:bookmarkStart w:id="151"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43"/>
      <w:bookmarkEnd w:id="144"/>
      <w:bookmarkEnd w:id="145"/>
      <w:bookmarkEnd w:id="146"/>
      <w:bookmarkEnd w:id="147"/>
      <w:bookmarkEnd w:id="148"/>
      <w:r>
        <w:rPr>
          <w:rFonts w:cs="Times New Roman" w:asciiTheme="minorEastAsia" w:hAnsiTheme="minorEastAsia" w:eastAsiaTheme="minorEastAsia"/>
          <w:b/>
          <w:bCs/>
          <w:color w:val="auto"/>
          <w:sz w:val="24"/>
          <w:szCs w:val="24"/>
          <w:highlight w:val="none"/>
          <w:lang w:val="zh-CN"/>
        </w:rPr>
        <w:t>和保密义务</w:t>
      </w:r>
      <w:bookmarkEnd w:id="149"/>
      <w:bookmarkEnd w:id="150"/>
      <w:bookmarkEnd w:id="151"/>
    </w:p>
    <w:p w14:paraId="0EA7A9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714C69C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8791F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06F54DE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2" w:name="_Toc7860"/>
      <w:r>
        <w:rPr>
          <w:rFonts w:cs="Times New Roman" w:asciiTheme="minorEastAsia" w:hAnsiTheme="minorEastAsia" w:eastAsiaTheme="minorEastAsia"/>
          <w:b/>
          <w:bCs/>
          <w:color w:val="auto"/>
          <w:sz w:val="24"/>
          <w:szCs w:val="24"/>
          <w:highlight w:val="none"/>
          <w:lang w:val="zh-CN"/>
        </w:rPr>
        <w:t>2.7 质量保证</w:t>
      </w:r>
      <w:bookmarkEnd w:id="152"/>
    </w:p>
    <w:p w14:paraId="045D2CA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87B096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E673C10">
      <w:pPr>
        <w:spacing w:line="360" w:lineRule="auto"/>
        <w:ind w:firstLine="437"/>
        <w:outlineLvl w:val="2"/>
        <w:rPr>
          <w:rFonts w:cs="Times New Roman" w:asciiTheme="minorEastAsia" w:hAnsiTheme="minorEastAsia" w:eastAsiaTheme="minorEastAsia"/>
          <w:b/>
          <w:color w:val="auto"/>
          <w:sz w:val="24"/>
          <w:szCs w:val="24"/>
          <w:highlight w:val="none"/>
        </w:rPr>
      </w:pPr>
      <w:bookmarkStart w:id="153" w:name="_Toc22267"/>
      <w:r>
        <w:rPr>
          <w:rFonts w:hint="eastAsia" w:cs="Times New Roman" w:asciiTheme="minorEastAsia" w:hAnsiTheme="minorEastAsia" w:eastAsiaTheme="minorEastAsia"/>
          <w:b/>
          <w:color w:val="auto"/>
          <w:sz w:val="24"/>
          <w:szCs w:val="24"/>
          <w:highlight w:val="none"/>
        </w:rPr>
        <w:t>2.8 延迟履行</w:t>
      </w:r>
      <w:bookmarkEnd w:id="153"/>
    </w:p>
    <w:p w14:paraId="691CDE9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746F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4" w:name="_Toc7502"/>
      <w:bookmarkStart w:id="155" w:name="_Toc259093683"/>
      <w:bookmarkStart w:id="156" w:name="_Toc279701254"/>
      <w:bookmarkStart w:id="157" w:name="_Ref467378121"/>
      <w:bookmarkStart w:id="158" w:name="_Toc487900364"/>
      <w:r>
        <w:rPr>
          <w:rFonts w:cs="Times New Roman" w:asciiTheme="minorEastAsia" w:hAnsiTheme="minorEastAsia" w:eastAsiaTheme="minorEastAsia"/>
          <w:b/>
          <w:bCs/>
          <w:color w:val="auto"/>
          <w:sz w:val="24"/>
          <w:szCs w:val="24"/>
          <w:highlight w:val="none"/>
          <w:lang w:val="zh-CN"/>
        </w:rPr>
        <w:t>2.9 合同变更</w:t>
      </w:r>
      <w:bookmarkEnd w:id="154"/>
    </w:p>
    <w:p w14:paraId="01ED91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642E3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9" w:name="_Toc487900369"/>
      <w:bookmarkStart w:id="160" w:name="_Toc259093688"/>
      <w:bookmarkStart w:id="161" w:name="_Toc279701259"/>
    </w:p>
    <w:p w14:paraId="2A0BC8A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2" w:name="_Toc10366"/>
      <w:bookmarkStart w:id="163" w:name="_Toc15237"/>
      <w:bookmarkStart w:id="164" w:name="_Toc22955"/>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59"/>
      <w:bookmarkEnd w:id="160"/>
      <w:bookmarkEnd w:id="161"/>
      <w:r>
        <w:rPr>
          <w:rFonts w:cs="Times New Roman" w:asciiTheme="minorEastAsia" w:hAnsiTheme="minorEastAsia" w:eastAsiaTheme="minorEastAsia"/>
          <w:b/>
          <w:bCs/>
          <w:color w:val="auto"/>
          <w:sz w:val="24"/>
          <w:szCs w:val="24"/>
          <w:highlight w:val="none"/>
          <w:lang w:val="zh-CN"/>
        </w:rPr>
        <w:t>和分包</w:t>
      </w:r>
      <w:bookmarkEnd w:id="162"/>
      <w:bookmarkEnd w:id="163"/>
      <w:bookmarkEnd w:id="164"/>
    </w:p>
    <w:p w14:paraId="6A12483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43172C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5" w:name="_Toc13566"/>
      <w:bookmarkStart w:id="166" w:name="_Toc16508"/>
      <w:bookmarkStart w:id="167" w:name="_Toc140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65"/>
      <w:bookmarkEnd w:id="166"/>
      <w:bookmarkEnd w:id="167"/>
    </w:p>
    <w:p w14:paraId="2E132A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666A3C4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12C1F67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1ABB8E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52CE54F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8" w:name="_Toc689"/>
      <w:bookmarkStart w:id="169" w:name="_Toc487900365"/>
      <w:bookmarkStart w:id="170" w:name="_Toc279701255"/>
      <w:bookmarkStart w:id="171" w:name="_Toc259093684"/>
      <w:bookmarkStart w:id="172" w:name="_Toc6969"/>
      <w:bookmarkStart w:id="173" w:name="_Toc3067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68"/>
      <w:bookmarkEnd w:id="169"/>
      <w:bookmarkEnd w:id="170"/>
      <w:bookmarkEnd w:id="171"/>
      <w:bookmarkEnd w:id="172"/>
      <w:bookmarkEnd w:id="173"/>
    </w:p>
    <w:p w14:paraId="4663EC6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5ADDC85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4" w:name="_Toc16959"/>
      <w:bookmarkStart w:id="175" w:name="_Toc7102"/>
      <w:bookmarkStart w:id="176" w:name="_Toc259093687"/>
      <w:bookmarkStart w:id="177" w:name="_Toc487900368"/>
      <w:bookmarkStart w:id="178" w:name="_Toc279701258"/>
      <w:bookmarkStart w:id="179" w:name="_Toc829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74"/>
      <w:bookmarkEnd w:id="175"/>
      <w:bookmarkEnd w:id="176"/>
      <w:bookmarkEnd w:id="177"/>
      <w:bookmarkEnd w:id="178"/>
      <w:bookmarkEnd w:id="179"/>
    </w:p>
    <w:p w14:paraId="145D055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4E27EF93">
      <w:pPr>
        <w:spacing w:line="360" w:lineRule="auto"/>
        <w:ind w:firstLine="437"/>
        <w:outlineLvl w:val="2"/>
        <w:rPr>
          <w:rFonts w:cs="Times New Roman" w:asciiTheme="minorEastAsia" w:hAnsiTheme="minorEastAsia" w:eastAsiaTheme="minorEastAsia"/>
          <w:b/>
          <w:color w:val="auto"/>
          <w:sz w:val="24"/>
          <w:szCs w:val="24"/>
          <w:highlight w:val="none"/>
        </w:rPr>
      </w:pPr>
      <w:bookmarkStart w:id="180" w:name="_Toc6134"/>
      <w:bookmarkStart w:id="181" w:name="_Toc29333"/>
      <w:bookmarkStart w:id="182" w:name="_Toc1538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80"/>
      <w:bookmarkEnd w:id="181"/>
      <w:bookmarkEnd w:id="182"/>
    </w:p>
    <w:p w14:paraId="04FBC7A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450EBE6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bookmarkEnd w:id="155"/>
    <w:bookmarkEnd w:id="156"/>
    <w:bookmarkEnd w:id="157"/>
    <w:bookmarkEnd w:id="158"/>
    <w:p w14:paraId="69BA274E">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bookmarkStart w:id="183" w:name="_Toc487900373"/>
      <w:bookmarkStart w:id="184" w:name="_Toc10330"/>
      <w:bookmarkStart w:id="185" w:name="_Toc279701263"/>
      <w:bookmarkStart w:id="186" w:name="_Toc18567"/>
      <w:bookmarkStart w:id="187" w:name="_Toc12773"/>
      <w:bookmarkStart w:id="188" w:name="_Toc259093692"/>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检验和验收</w:t>
      </w:r>
    </w:p>
    <w:p w14:paraId="2A1EB8A6">
      <w:pPr>
        <w:keepNext w:val="0"/>
        <w:keepLines w:val="0"/>
        <w:widowControl w:val="0"/>
        <w:suppressLineNumbers w:val="0"/>
        <w:spacing w:before="0" w:beforeAutospacing="0" w:after="0" w:afterAutospacing="0" w:line="360" w:lineRule="auto"/>
        <w:ind w:left="0" w:right="0" w:firstLine="435"/>
        <w:jc w:val="both"/>
        <w:rPr>
          <w:rFonts w:hint="default" w:ascii="宋体" w:hAnsi="宋体" w:eastAsia="宋体" w:cs="Times New Roman"/>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1乙方按照</w:t>
      </w:r>
      <w:r>
        <w:rPr>
          <w:rFonts w:hint="eastAsia" w:ascii="宋体" w:hAnsi="宋体" w:eastAsia="宋体" w:cs="宋体"/>
          <w:b/>
          <w:bCs w:val="0"/>
          <w:i/>
          <w:iCs w:val="0"/>
          <w:color w:val="auto"/>
          <w:kern w:val="2"/>
          <w:sz w:val="24"/>
          <w:szCs w:val="24"/>
          <w:highlight w:val="none"/>
          <w:u w:val="single"/>
          <w:lang w:val="en-US" w:eastAsia="zh-CN" w:bidi="ar"/>
        </w:rPr>
        <w:t>采购人要求</w:t>
      </w:r>
    </w:p>
    <w:p w14:paraId="1FB70D95">
      <w:pPr>
        <w:spacing w:line="360" w:lineRule="auto"/>
        <w:ind w:firstLine="437"/>
        <w:outlineLvl w:val="2"/>
        <w:rPr>
          <w:rFonts w:cs="Times New Roman" w:asciiTheme="minorEastAsia" w:hAnsiTheme="minorEastAsia" w:eastAsiaTheme="minorEastAsia"/>
          <w:b/>
          <w:bCs/>
          <w:color w:val="auto"/>
          <w:sz w:val="24"/>
          <w:szCs w:val="24"/>
          <w:highlight w:val="none"/>
        </w:rPr>
      </w:pPr>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83"/>
      <w:bookmarkEnd w:id="184"/>
      <w:bookmarkEnd w:id="185"/>
      <w:bookmarkEnd w:id="186"/>
      <w:bookmarkEnd w:id="187"/>
      <w:bookmarkEnd w:id="188"/>
    </w:p>
    <w:p w14:paraId="50920A8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6BFF393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7916CEB7">
      <w:pPr>
        <w:spacing w:line="360" w:lineRule="auto"/>
        <w:ind w:firstLine="437"/>
        <w:outlineLvl w:val="2"/>
        <w:rPr>
          <w:rFonts w:cs="Times New Roman" w:asciiTheme="minorEastAsia" w:hAnsiTheme="minorEastAsia" w:eastAsiaTheme="minorEastAsia"/>
          <w:b/>
          <w:color w:val="auto"/>
          <w:sz w:val="24"/>
          <w:szCs w:val="24"/>
          <w:highlight w:val="none"/>
        </w:rPr>
      </w:pPr>
      <w:bookmarkStart w:id="189" w:name="_Toc12004"/>
      <w:bookmarkStart w:id="190" w:name="_Toc3148"/>
      <w:bookmarkStart w:id="191" w:name="_Toc259093693"/>
      <w:bookmarkStart w:id="192" w:name="_Toc279701264"/>
      <w:bookmarkStart w:id="193" w:name="_Toc16673"/>
      <w:bookmarkStart w:id="194"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89"/>
      <w:bookmarkEnd w:id="190"/>
      <w:bookmarkEnd w:id="191"/>
      <w:bookmarkEnd w:id="192"/>
      <w:bookmarkEnd w:id="193"/>
    </w:p>
    <w:p w14:paraId="6A14A3A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5FA0F9C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12E44E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4"/>
    <w:p w14:paraId="1F75F62C">
      <w:pPr>
        <w:spacing w:line="360" w:lineRule="auto"/>
        <w:ind w:firstLine="437"/>
        <w:outlineLvl w:val="2"/>
        <w:rPr>
          <w:rFonts w:cs="Times New Roman" w:asciiTheme="minorEastAsia" w:hAnsiTheme="minorEastAsia" w:eastAsiaTheme="minorEastAsia"/>
          <w:b/>
          <w:color w:val="auto"/>
          <w:sz w:val="24"/>
          <w:szCs w:val="24"/>
          <w:highlight w:val="none"/>
        </w:rPr>
      </w:pPr>
      <w:bookmarkStart w:id="195" w:name="_Toc19890"/>
      <w:bookmarkStart w:id="196" w:name="_Toc14001"/>
      <w:bookmarkStart w:id="197"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95"/>
      <w:bookmarkEnd w:id="196"/>
      <w:bookmarkEnd w:id="197"/>
    </w:p>
    <w:p w14:paraId="32BFD32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243AB0D3">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8"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98"/>
    </w:p>
    <w:p w14:paraId="2E4C484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4"/>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0E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FCF303F">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DD05B8D">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240E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shd w:val="clear" w:color="auto" w:fill="auto"/>
            <w:vAlign w:val="center"/>
          </w:tcPr>
          <w:p w14:paraId="16B89C38">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2.5</w:t>
            </w:r>
          </w:p>
        </w:tc>
        <w:tc>
          <w:tcPr>
            <w:tcW w:w="7568" w:type="dxa"/>
            <w:shd w:val="clear" w:color="auto" w:fill="auto"/>
            <w:vAlign w:val="center"/>
          </w:tcPr>
          <w:p w14:paraId="667AF7AA">
            <w:pPr>
              <w:keepNext w:val="0"/>
              <w:keepLines w:val="0"/>
              <w:widowControl/>
              <w:suppressLineNumbers w:val="0"/>
              <w:autoSpaceDE w:val="0"/>
              <w:autoSpaceDN/>
              <w:spacing w:before="0" w:beforeAutospacing="0" w:after="0" w:afterAutospacing="0" w:line="360" w:lineRule="auto"/>
              <w:ind w:left="0" w:leftChars="0" w:right="0" w:rightChars="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rPr>
              <w:t>详见招标文件</w:t>
            </w:r>
          </w:p>
        </w:tc>
      </w:tr>
      <w:tr w14:paraId="7CAA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4D5BF526">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2.11.3</w:t>
            </w:r>
          </w:p>
        </w:tc>
        <w:tc>
          <w:tcPr>
            <w:tcW w:w="7568" w:type="dxa"/>
            <w:shd w:val="clear" w:color="auto" w:fill="auto"/>
            <w:vAlign w:val="center"/>
          </w:tcPr>
          <w:p w14:paraId="68CAC5CB">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因不可抗力致使合同有变更必要的，双方当事人应在不可抗力发生的 3 </w:t>
            </w:r>
          </w:p>
          <w:p w14:paraId="01772DE5">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个工作日内以书面形式变更合同</w:t>
            </w:r>
          </w:p>
        </w:tc>
      </w:tr>
      <w:tr w14:paraId="1ACF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66D1B33F">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2.11.4</w:t>
            </w:r>
          </w:p>
        </w:tc>
        <w:tc>
          <w:tcPr>
            <w:tcW w:w="7568" w:type="dxa"/>
            <w:shd w:val="clear" w:color="auto" w:fill="auto"/>
            <w:vAlign w:val="center"/>
          </w:tcPr>
          <w:p w14:paraId="65D3358F">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受不可抗力影响的一方在不可抗力发生后，应在不可抗力发生的 1 个工 </w:t>
            </w:r>
          </w:p>
          <w:p w14:paraId="3116EFD3">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作日内以书面形式通知对方当事人，并在 1 个工作日内，将有关部门出 </w:t>
            </w:r>
          </w:p>
          <w:p w14:paraId="0D1E4450">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具的证明文件送达对方当事人</w:t>
            </w:r>
          </w:p>
        </w:tc>
      </w:tr>
      <w:tr w14:paraId="265D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6400DA31">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2.17</w:t>
            </w:r>
          </w:p>
        </w:tc>
        <w:tc>
          <w:tcPr>
            <w:tcW w:w="7568" w:type="dxa"/>
            <w:shd w:val="clear" w:color="auto" w:fill="auto"/>
            <w:vAlign w:val="center"/>
          </w:tcPr>
          <w:p w14:paraId="1F8D92E5">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
              </w:rPr>
              <w:t>本项目免收履约保证金</w:t>
            </w:r>
          </w:p>
        </w:tc>
      </w:tr>
      <w:tr w14:paraId="0012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center"/>
          </w:tcPr>
          <w:p w14:paraId="05409FD2">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2.18</w:t>
            </w:r>
          </w:p>
        </w:tc>
        <w:tc>
          <w:tcPr>
            <w:tcW w:w="7568" w:type="dxa"/>
            <w:shd w:val="clear" w:color="auto" w:fill="auto"/>
            <w:vAlign w:val="center"/>
          </w:tcPr>
          <w:p w14:paraId="27889A2F">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合同一式陆份，甲乙双方各执叁份。</w:t>
            </w:r>
          </w:p>
        </w:tc>
      </w:tr>
      <w:tr w14:paraId="64DB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62B8D8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3EEEB0F">
            <w:pPr>
              <w:spacing w:line="560" w:lineRule="exact"/>
              <w:rPr>
                <w:rFonts w:cs="Times New Roman" w:asciiTheme="minorEastAsia" w:hAnsiTheme="minorEastAsia" w:eastAsiaTheme="minorEastAsia"/>
                <w:color w:val="auto"/>
                <w:sz w:val="24"/>
                <w:szCs w:val="24"/>
                <w:highlight w:val="none"/>
              </w:rPr>
            </w:pPr>
          </w:p>
        </w:tc>
      </w:tr>
      <w:tr w14:paraId="267E0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5F50D5E">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80F18BF">
            <w:pPr>
              <w:spacing w:line="560" w:lineRule="exact"/>
              <w:rPr>
                <w:rFonts w:cs="Times New Roman" w:asciiTheme="minorEastAsia" w:hAnsiTheme="minorEastAsia" w:eastAsiaTheme="minorEastAsia"/>
                <w:color w:val="auto"/>
                <w:sz w:val="24"/>
                <w:szCs w:val="24"/>
                <w:highlight w:val="none"/>
                <w:u w:val="single"/>
              </w:rPr>
            </w:pPr>
          </w:p>
        </w:tc>
      </w:tr>
      <w:tr w14:paraId="20C2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5D813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D3A1CD7">
            <w:pPr>
              <w:spacing w:line="560" w:lineRule="exact"/>
              <w:rPr>
                <w:rFonts w:cs="Times New Roman" w:asciiTheme="minorEastAsia" w:hAnsiTheme="minorEastAsia" w:eastAsiaTheme="minorEastAsia"/>
                <w:color w:val="auto"/>
                <w:sz w:val="24"/>
                <w:szCs w:val="24"/>
                <w:highlight w:val="none"/>
              </w:rPr>
            </w:pPr>
          </w:p>
        </w:tc>
      </w:tr>
      <w:tr w14:paraId="15E9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CFAB04">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FE4D11B">
            <w:pPr>
              <w:spacing w:line="560" w:lineRule="exact"/>
              <w:rPr>
                <w:rFonts w:cs="Times New Roman" w:asciiTheme="minorEastAsia" w:hAnsiTheme="minorEastAsia" w:eastAsiaTheme="minorEastAsia"/>
                <w:color w:val="auto"/>
                <w:sz w:val="24"/>
                <w:szCs w:val="24"/>
                <w:highlight w:val="none"/>
              </w:rPr>
            </w:pPr>
          </w:p>
        </w:tc>
      </w:tr>
      <w:tr w14:paraId="1BCE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BE9BD0F">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9A0E7FD">
            <w:pPr>
              <w:spacing w:line="560" w:lineRule="exact"/>
              <w:rPr>
                <w:rFonts w:cs="Times New Roman" w:asciiTheme="minorEastAsia" w:hAnsiTheme="minorEastAsia" w:eastAsiaTheme="minorEastAsia"/>
                <w:color w:val="auto"/>
                <w:sz w:val="24"/>
                <w:szCs w:val="24"/>
                <w:highlight w:val="none"/>
              </w:rPr>
            </w:pPr>
          </w:p>
        </w:tc>
      </w:tr>
      <w:tr w14:paraId="3132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72DA1C4">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E50AF6B">
            <w:pPr>
              <w:spacing w:line="560" w:lineRule="exact"/>
              <w:rPr>
                <w:rFonts w:cs="Times New Roman" w:asciiTheme="minorEastAsia" w:hAnsiTheme="minorEastAsia" w:eastAsiaTheme="minorEastAsia"/>
                <w:color w:val="auto"/>
                <w:sz w:val="24"/>
                <w:szCs w:val="24"/>
                <w:highlight w:val="none"/>
              </w:rPr>
            </w:pPr>
          </w:p>
        </w:tc>
      </w:tr>
      <w:tr w14:paraId="57CF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9D3BDB">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4EF413">
            <w:pPr>
              <w:spacing w:line="560" w:lineRule="exact"/>
              <w:rPr>
                <w:rFonts w:cs="Times New Roman" w:asciiTheme="minorEastAsia" w:hAnsiTheme="minorEastAsia" w:eastAsiaTheme="minorEastAsia"/>
                <w:color w:val="auto"/>
                <w:sz w:val="24"/>
                <w:szCs w:val="24"/>
                <w:highlight w:val="none"/>
              </w:rPr>
            </w:pPr>
          </w:p>
        </w:tc>
      </w:tr>
    </w:tbl>
    <w:p w14:paraId="65B9DB1D">
      <w:pPr>
        <w:spacing w:line="360" w:lineRule="auto"/>
        <w:rPr>
          <w:rFonts w:asciiTheme="minorEastAsia" w:hAnsiTheme="minorEastAsia" w:eastAsiaTheme="minorEastAsia"/>
          <w:color w:val="auto"/>
          <w:sz w:val="24"/>
          <w:highlight w:val="none"/>
        </w:rPr>
      </w:pPr>
    </w:p>
    <w:p w14:paraId="4F2C00C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0"/>
    <w:p w14:paraId="7CE6F933">
      <w:pPr>
        <w:spacing w:line="360" w:lineRule="auto"/>
        <w:jc w:val="center"/>
        <w:outlineLvl w:val="0"/>
        <w:rPr>
          <w:rFonts w:asciiTheme="minorEastAsia" w:hAnsiTheme="minorEastAsia" w:eastAsiaTheme="minorEastAsia"/>
          <w:b/>
          <w:color w:val="auto"/>
          <w:sz w:val="28"/>
          <w:highlight w:val="none"/>
        </w:rPr>
      </w:pPr>
      <w:bookmarkStart w:id="199" w:name="_Toc13555"/>
      <w:r>
        <w:rPr>
          <w:rFonts w:hint="eastAsia" w:asciiTheme="minorEastAsia" w:hAnsiTheme="minorEastAsia" w:eastAsiaTheme="minorEastAsia"/>
          <w:b/>
          <w:color w:val="auto"/>
          <w:sz w:val="28"/>
          <w:highlight w:val="none"/>
        </w:rPr>
        <w:t>第六章  投标文件格式</w:t>
      </w:r>
      <w:bookmarkEnd w:id="199"/>
    </w:p>
    <w:p w14:paraId="173EBABC">
      <w:pPr>
        <w:spacing w:line="900" w:lineRule="exact"/>
        <w:jc w:val="right"/>
        <w:rPr>
          <w:rFonts w:hint="default" w:asciiTheme="minorEastAsia" w:hAnsiTheme="minorEastAsia" w:eastAsiaTheme="minorEastAsia"/>
          <w:b/>
          <w:color w:val="auto"/>
          <w:sz w:val="52"/>
          <w:szCs w:val="52"/>
          <w:highlight w:val="none"/>
          <w:lang w:val="en-US" w:eastAsia="zh-CN"/>
        </w:rPr>
      </w:pPr>
      <w:r>
        <w:rPr>
          <w:rFonts w:hint="eastAsia" w:asciiTheme="minorEastAsia" w:hAnsiTheme="minorEastAsia" w:eastAsiaTheme="minorEastAsia"/>
          <w:b/>
          <w:color w:val="auto"/>
          <w:sz w:val="52"/>
          <w:szCs w:val="52"/>
          <w:highlight w:val="none"/>
          <w:lang w:val="en-US" w:eastAsia="zh-CN"/>
        </w:rPr>
        <w:t>正/副本</w:t>
      </w:r>
    </w:p>
    <w:p w14:paraId="646B6E81">
      <w:pPr>
        <w:spacing w:line="900" w:lineRule="exact"/>
        <w:jc w:val="center"/>
        <w:outlineLvl w:val="1"/>
        <w:rPr>
          <w:rFonts w:asciiTheme="minorEastAsia" w:hAnsiTheme="minorEastAsia" w:eastAsiaTheme="minorEastAsia"/>
          <w:b/>
          <w:color w:val="auto"/>
          <w:sz w:val="72"/>
          <w:highlight w:val="none"/>
        </w:rPr>
      </w:pPr>
      <w:bookmarkStart w:id="200" w:name="_Toc5119"/>
      <w:r>
        <w:rPr>
          <w:rFonts w:hint="eastAsia" w:asciiTheme="minorEastAsia" w:hAnsiTheme="minorEastAsia" w:eastAsiaTheme="minorEastAsia"/>
          <w:b/>
          <w:color w:val="auto"/>
          <w:sz w:val="72"/>
          <w:highlight w:val="none"/>
        </w:rPr>
        <w:t>投</w:t>
      </w:r>
      <w:bookmarkEnd w:id="200"/>
    </w:p>
    <w:p w14:paraId="68E228AC">
      <w:pPr>
        <w:spacing w:line="900" w:lineRule="exact"/>
        <w:jc w:val="center"/>
        <w:rPr>
          <w:rFonts w:asciiTheme="minorEastAsia" w:hAnsiTheme="minorEastAsia" w:eastAsiaTheme="minorEastAsia"/>
          <w:b/>
          <w:color w:val="auto"/>
          <w:sz w:val="72"/>
          <w:highlight w:val="none"/>
        </w:rPr>
      </w:pPr>
    </w:p>
    <w:p w14:paraId="6EF30245">
      <w:pPr>
        <w:spacing w:line="900" w:lineRule="exact"/>
        <w:jc w:val="center"/>
        <w:outlineLvl w:val="1"/>
        <w:rPr>
          <w:rFonts w:asciiTheme="minorEastAsia" w:hAnsiTheme="minorEastAsia" w:eastAsiaTheme="minorEastAsia"/>
          <w:b/>
          <w:color w:val="auto"/>
          <w:sz w:val="72"/>
          <w:highlight w:val="none"/>
        </w:rPr>
      </w:pPr>
      <w:bookmarkStart w:id="201" w:name="_Toc4782"/>
      <w:r>
        <w:rPr>
          <w:rFonts w:hint="eastAsia" w:asciiTheme="minorEastAsia" w:hAnsiTheme="minorEastAsia" w:eastAsiaTheme="minorEastAsia"/>
          <w:b/>
          <w:color w:val="auto"/>
          <w:sz w:val="72"/>
          <w:highlight w:val="none"/>
        </w:rPr>
        <w:t>标</w:t>
      </w:r>
      <w:bookmarkEnd w:id="201"/>
    </w:p>
    <w:p w14:paraId="29B2755B">
      <w:pPr>
        <w:spacing w:line="900" w:lineRule="exact"/>
        <w:jc w:val="center"/>
        <w:rPr>
          <w:rFonts w:asciiTheme="minorEastAsia" w:hAnsiTheme="minorEastAsia" w:eastAsiaTheme="minorEastAsia"/>
          <w:b/>
          <w:color w:val="auto"/>
          <w:sz w:val="72"/>
          <w:highlight w:val="none"/>
        </w:rPr>
      </w:pPr>
    </w:p>
    <w:p w14:paraId="2E697DE4">
      <w:pPr>
        <w:spacing w:line="900" w:lineRule="exact"/>
        <w:jc w:val="center"/>
        <w:outlineLvl w:val="1"/>
        <w:rPr>
          <w:rFonts w:asciiTheme="minorEastAsia" w:hAnsiTheme="minorEastAsia" w:eastAsiaTheme="minorEastAsia"/>
          <w:b/>
          <w:color w:val="auto"/>
          <w:sz w:val="72"/>
          <w:highlight w:val="none"/>
        </w:rPr>
      </w:pPr>
      <w:bookmarkStart w:id="202" w:name="_Toc19607"/>
      <w:r>
        <w:rPr>
          <w:rFonts w:hint="eastAsia" w:asciiTheme="minorEastAsia" w:hAnsiTheme="minorEastAsia" w:eastAsiaTheme="minorEastAsia"/>
          <w:b/>
          <w:color w:val="auto"/>
          <w:sz w:val="72"/>
          <w:highlight w:val="none"/>
        </w:rPr>
        <w:t>文</w:t>
      </w:r>
      <w:bookmarkEnd w:id="202"/>
    </w:p>
    <w:p w14:paraId="213C712A">
      <w:pPr>
        <w:spacing w:line="900" w:lineRule="exact"/>
        <w:jc w:val="center"/>
        <w:rPr>
          <w:rFonts w:asciiTheme="minorEastAsia" w:hAnsiTheme="minorEastAsia" w:eastAsiaTheme="minorEastAsia"/>
          <w:b/>
          <w:color w:val="auto"/>
          <w:sz w:val="72"/>
          <w:highlight w:val="none"/>
        </w:rPr>
      </w:pPr>
    </w:p>
    <w:p w14:paraId="410238F9">
      <w:pPr>
        <w:jc w:val="center"/>
        <w:outlineLvl w:val="1"/>
        <w:rPr>
          <w:rFonts w:asciiTheme="minorEastAsia" w:hAnsiTheme="minorEastAsia" w:eastAsiaTheme="minorEastAsia"/>
          <w:b/>
          <w:color w:val="auto"/>
          <w:sz w:val="72"/>
          <w:highlight w:val="none"/>
        </w:rPr>
      </w:pPr>
      <w:bookmarkStart w:id="203" w:name="_Toc8365"/>
      <w:r>
        <w:rPr>
          <w:rFonts w:hint="eastAsia" w:asciiTheme="minorEastAsia" w:hAnsiTheme="minorEastAsia" w:eastAsiaTheme="minorEastAsia"/>
          <w:b/>
          <w:color w:val="auto"/>
          <w:sz w:val="72"/>
          <w:highlight w:val="none"/>
        </w:rPr>
        <w:t>件</w:t>
      </w:r>
      <w:bookmarkEnd w:id="203"/>
    </w:p>
    <w:p w14:paraId="34FFCD18">
      <w:pPr>
        <w:spacing w:after="156" w:afterLines="50"/>
        <w:jc w:val="center"/>
        <w:rPr>
          <w:rFonts w:asciiTheme="minorEastAsia" w:hAnsiTheme="minorEastAsia" w:eastAsiaTheme="minorEastAsia"/>
          <w:b/>
          <w:color w:val="auto"/>
          <w:sz w:val="72"/>
          <w:highlight w:val="none"/>
        </w:rPr>
      </w:pPr>
    </w:p>
    <w:p w14:paraId="45F4C76E">
      <w:pPr>
        <w:spacing w:before="156" w:beforeLines="50" w:after="156" w:afterLines="50"/>
        <w:jc w:val="center"/>
        <w:outlineLvl w:val="9"/>
        <w:rPr>
          <w:rFonts w:asciiTheme="minorEastAsia" w:hAnsiTheme="minorEastAsia" w:eastAsiaTheme="minorEastAsia"/>
          <w:b/>
          <w:color w:val="auto"/>
          <w:sz w:val="32"/>
          <w:szCs w:val="32"/>
          <w:highlight w:val="none"/>
        </w:rPr>
      </w:pPr>
    </w:p>
    <w:p w14:paraId="750B84EA">
      <w:pPr>
        <w:spacing w:after="156" w:afterLines="50" w:line="500" w:lineRule="exact"/>
        <w:jc w:val="center"/>
        <w:rPr>
          <w:rFonts w:asciiTheme="minorEastAsia" w:hAnsiTheme="minorEastAsia" w:eastAsiaTheme="minorEastAsia"/>
          <w:b/>
          <w:color w:val="auto"/>
          <w:sz w:val="28"/>
          <w:szCs w:val="28"/>
          <w:highlight w:val="none"/>
        </w:rPr>
      </w:pPr>
    </w:p>
    <w:p w14:paraId="1F452FC9">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299201">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DDD9F67">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137C8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4" w:name="_Toc19687"/>
      <w:bookmarkStart w:id="20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4"/>
      <w:bookmarkEnd w:id="205"/>
    </w:p>
    <w:p w14:paraId="08D1157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B1A3A04">
      <w:pPr>
        <w:keepNext w:val="0"/>
        <w:keepLines w:val="0"/>
        <w:widowControl/>
        <w:suppressLineNumbers w:val="0"/>
        <w:spacing w:before="0" w:beforeAutospacing="0" w:after="0" w:afterAutospacing="0"/>
        <w:ind w:left="0" w:right="0" w:firstLine="65"/>
        <w:jc w:val="center"/>
        <w:rPr>
          <w:rFonts w:hint="default" w:ascii="Times New Roman" w:hAnsi="Times New Roman" w:eastAsia="宋体" w:cs="Times New Roman"/>
          <w:b/>
          <w:bCs w:val="0"/>
          <w:color w:val="auto"/>
          <w:kern w:val="2"/>
          <w:sz w:val="44"/>
          <w:szCs w:val="44"/>
          <w:highlight w:val="none"/>
        </w:rPr>
      </w:pPr>
      <w:bookmarkStart w:id="206" w:name="_Toc28960"/>
      <w:bookmarkStart w:id="207" w:name="_Toc17986"/>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56ADE163">
      <w:pPr>
        <w:keepNext w:val="0"/>
        <w:keepLines w:val="0"/>
        <w:widowControl w:val="0"/>
        <w:suppressLineNumbers w:val="0"/>
        <w:spacing w:before="0" w:beforeAutospacing="0" w:after="0" w:afterAutospacing="0" w:line="400" w:lineRule="exact"/>
        <w:ind w:left="0" w:right="0" w:firstLine="562" w:firstLineChars="200"/>
        <w:jc w:val="both"/>
        <w:rPr>
          <w:rFonts w:hint="default"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14A5F307">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（1）投标人资格声明书（格式见附件）；                                                                                                                                                                                                                                                                                                                                                                                                                                                                                                                                                                                                                                                                                                                                                                                                                                                                                                                                                                                                                                                                                                                                                                                                                                                                                                                                                                                                                                                                                                                                                                                             </w:t>
      </w:r>
    </w:p>
    <w:p w14:paraId="09E8222E">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（2）授权书（格式见附件）；</w:t>
      </w:r>
    </w:p>
    <w:p w14:paraId="111D1E10">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（3）营业执照等证明文件；</w:t>
      </w:r>
    </w:p>
    <w:p w14:paraId="1A52477D">
      <w:pPr>
        <w:keepNext w:val="0"/>
        <w:keepLines w:val="0"/>
        <w:widowControl w:val="0"/>
        <w:suppressLineNumbers w:val="0"/>
        <w:spacing w:before="0" w:beforeAutospacing="0" w:after="0" w:afterAutospacing="0" w:line="360" w:lineRule="auto"/>
        <w:ind w:left="0" w:right="0" w:firstLine="484" w:firstLineChars="202"/>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val="en-US" w:eastAsia="zh-CN" w:bidi="ar"/>
        </w:rPr>
        <w:t>①供应商具有项目相关术中工具所需《医疗器械经营备案凭证》或《医疗器械经营许可证》（经营范围包含无源植入器械）；②术后康复辅具应具有《医疗器械注册证》或《医疗器械备案凭证》，部位至少包含（上肢、下肢、足部）固定器或矫形器；③提供本项目利用3D打印机依据患者情况制作的手术/医学模型医疗器械注册证（备案证）。</w:t>
      </w:r>
    </w:p>
    <w:p w14:paraId="50DCAD46">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（4）开标一览表（格式见附件）；</w:t>
      </w:r>
    </w:p>
    <w:p w14:paraId="003C3BE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（5）投标函（格式见附件）；</w:t>
      </w:r>
    </w:p>
    <w:p w14:paraId="1A77F0C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（6）投标报价表（格式见附件）；</w:t>
      </w:r>
    </w:p>
    <w:p w14:paraId="0499FDEC">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（7）投标响应表（格式见附件）；</w:t>
      </w:r>
    </w:p>
    <w:p w14:paraId="0F84E9A1">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（8）诚信履约承诺函（格式见附件）；</w:t>
      </w:r>
    </w:p>
    <w:p w14:paraId="63A7FE4F">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（9）诚信投标承诺书（格式见附件）；</w:t>
      </w:r>
    </w:p>
    <w:p w14:paraId="6F0A1FD5">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（10）招标文件中要求的提供的其他相关资料；</w:t>
      </w:r>
    </w:p>
    <w:p w14:paraId="6A94D4D5">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（11）供应商认为需要提供的其他证明材料；</w:t>
      </w:r>
    </w:p>
    <w:p w14:paraId="03403B8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（12）其他（如有）。</w:t>
      </w:r>
    </w:p>
    <w:p w14:paraId="252CCEDD">
      <w:pPr>
        <w:spacing w:line="360" w:lineRule="auto"/>
        <w:jc w:val="center"/>
        <w:outlineLvl w:val="1"/>
        <w:rPr>
          <w:rFonts w:hint="eastAsia" w:asciiTheme="minorEastAsia" w:hAnsiTheme="minorEastAsia" w:eastAsiaTheme="minorEastAsia"/>
          <w:b/>
          <w:color w:val="auto"/>
          <w:sz w:val="24"/>
          <w:highlight w:val="none"/>
        </w:rPr>
      </w:pPr>
    </w:p>
    <w:p w14:paraId="0DF474D6">
      <w:pPr>
        <w:pStyle w:val="23"/>
        <w:rPr>
          <w:rFonts w:hint="eastAsia" w:asciiTheme="minorEastAsia" w:hAnsiTheme="minorEastAsia" w:eastAsiaTheme="minorEastAsia"/>
          <w:b/>
          <w:color w:val="auto"/>
          <w:sz w:val="24"/>
          <w:highlight w:val="none"/>
        </w:rPr>
      </w:pPr>
    </w:p>
    <w:p w14:paraId="563936AE">
      <w:pPr>
        <w:rPr>
          <w:rFonts w:hint="eastAsia" w:asciiTheme="minorEastAsia" w:hAnsiTheme="minorEastAsia" w:eastAsiaTheme="minorEastAsia"/>
          <w:b/>
          <w:color w:val="auto"/>
          <w:sz w:val="24"/>
          <w:highlight w:val="none"/>
        </w:rPr>
      </w:pPr>
    </w:p>
    <w:p w14:paraId="6A84D750">
      <w:pPr>
        <w:pStyle w:val="23"/>
        <w:rPr>
          <w:rFonts w:hint="eastAsia" w:asciiTheme="minorEastAsia" w:hAnsiTheme="minorEastAsia" w:eastAsiaTheme="minorEastAsia"/>
          <w:b/>
          <w:color w:val="auto"/>
          <w:sz w:val="24"/>
          <w:highlight w:val="none"/>
        </w:rPr>
      </w:pPr>
    </w:p>
    <w:p w14:paraId="08C62C9E">
      <w:pPr>
        <w:rPr>
          <w:rFonts w:hint="eastAsia" w:asciiTheme="minorEastAsia" w:hAnsiTheme="minorEastAsia" w:eastAsiaTheme="minorEastAsia"/>
          <w:b/>
          <w:color w:val="auto"/>
          <w:sz w:val="24"/>
          <w:highlight w:val="none"/>
        </w:rPr>
      </w:pPr>
    </w:p>
    <w:p w14:paraId="02542C87">
      <w:pPr>
        <w:pStyle w:val="23"/>
        <w:rPr>
          <w:rFonts w:hint="eastAsia" w:asciiTheme="minorEastAsia" w:hAnsiTheme="minorEastAsia" w:eastAsiaTheme="minorEastAsia"/>
          <w:b/>
          <w:color w:val="auto"/>
          <w:sz w:val="24"/>
          <w:highlight w:val="none"/>
        </w:rPr>
      </w:pPr>
    </w:p>
    <w:p w14:paraId="73EF89FF">
      <w:pPr>
        <w:rPr>
          <w:rFonts w:hint="eastAsia" w:asciiTheme="minorEastAsia" w:hAnsiTheme="minorEastAsia" w:eastAsiaTheme="minorEastAsia"/>
          <w:b/>
          <w:color w:val="auto"/>
          <w:sz w:val="24"/>
          <w:highlight w:val="none"/>
        </w:rPr>
      </w:pPr>
    </w:p>
    <w:p w14:paraId="70AE32E0">
      <w:pPr>
        <w:pStyle w:val="23"/>
        <w:rPr>
          <w:rFonts w:hint="eastAsia" w:asciiTheme="minorEastAsia" w:hAnsiTheme="minorEastAsia" w:eastAsiaTheme="minorEastAsia"/>
          <w:b/>
          <w:color w:val="auto"/>
          <w:sz w:val="24"/>
          <w:highlight w:val="none"/>
        </w:rPr>
      </w:pPr>
    </w:p>
    <w:p w14:paraId="33F816F3">
      <w:pPr>
        <w:rPr>
          <w:rFonts w:hint="eastAsia" w:asciiTheme="minorEastAsia" w:hAnsiTheme="minorEastAsia" w:eastAsiaTheme="minorEastAsia"/>
          <w:b/>
          <w:color w:val="auto"/>
          <w:sz w:val="24"/>
          <w:highlight w:val="none"/>
        </w:rPr>
      </w:pPr>
    </w:p>
    <w:p w14:paraId="4940071C">
      <w:pPr>
        <w:pStyle w:val="23"/>
        <w:rPr>
          <w:rFonts w:hint="eastAsia" w:asciiTheme="minorEastAsia" w:hAnsiTheme="minorEastAsia" w:eastAsiaTheme="minorEastAsia"/>
          <w:b/>
          <w:color w:val="auto"/>
          <w:sz w:val="24"/>
          <w:highlight w:val="none"/>
        </w:rPr>
      </w:pPr>
    </w:p>
    <w:p w14:paraId="3B313B6A">
      <w:pPr>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57C401EF">
      <w:pPr>
        <w:pStyle w:val="19"/>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19"/>
        <w:spacing w:before="0" w:after="120" w:afterAutospacing="0"/>
        <w:ind w:firstLine="482"/>
        <w:jc w:val="center"/>
        <w:rPr>
          <w:rFonts w:hint="eastAsia"/>
          <w:b/>
          <w:color w:val="auto"/>
          <w:highlight w:val="none"/>
          <w:lang w:bidi="ar"/>
        </w:rPr>
      </w:pPr>
    </w:p>
    <w:p w14:paraId="27EFF779">
      <w:pPr>
        <w:pStyle w:val="19"/>
        <w:spacing w:before="0" w:after="120" w:afterAutospacing="0"/>
        <w:ind w:firstLine="482"/>
        <w:jc w:val="center"/>
        <w:rPr>
          <w:rFonts w:hint="eastAsia"/>
          <w:b/>
          <w:color w:val="auto"/>
          <w:highlight w:val="none"/>
          <w:lang w:bidi="ar"/>
        </w:rPr>
      </w:pPr>
    </w:p>
    <w:p w14:paraId="3BF59FB8">
      <w:pPr>
        <w:pStyle w:val="19"/>
        <w:spacing w:before="0" w:after="120" w:afterAutospacing="0"/>
        <w:ind w:firstLine="482"/>
        <w:jc w:val="center"/>
        <w:rPr>
          <w:rFonts w:hint="eastAsia"/>
          <w:b/>
          <w:color w:val="auto"/>
          <w:highlight w:val="none"/>
          <w:lang w:bidi="ar"/>
        </w:rPr>
      </w:pPr>
    </w:p>
    <w:p w14:paraId="58FD299D">
      <w:pPr>
        <w:pStyle w:val="19"/>
        <w:spacing w:before="0" w:after="120" w:afterAutospacing="0"/>
        <w:ind w:firstLine="482"/>
        <w:jc w:val="center"/>
        <w:rPr>
          <w:rFonts w:hint="eastAsia"/>
          <w:b/>
          <w:color w:val="auto"/>
          <w:highlight w:val="none"/>
          <w:lang w:bidi="ar"/>
        </w:rPr>
      </w:pPr>
    </w:p>
    <w:p w14:paraId="033248BA">
      <w:pPr>
        <w:pStyle w:val="19"/>
        <w:spacing w:before="0" w:after="120" w:afterAutospacing="0"/>
        <w:ind w:firstLine="482"/>
        <w:jc w:val="center"/>
        <w:rPr>
          <w:rFonts w:hint="eastAsia"/>
          <w:b/>
          <w:color w:val="auto"/>
          <w:highlight w:val="none"/>
          <w:lang w:bidi="ar"/>
        </w:rPr>
      </w:pPr>
    </w:p>
    <w:p w14:paraId="3B1CAF22">
      <w:pPr>
        <w:pStyle w:val="19"/>
        <w:spacing w:before="0" w:after="120" w:afterAutospacing="0"/>
        <w:ind w:firstLine="482"/>
        <w:jc w:val="center"/>
        <w:rPr>
          <w:rFonts w:hint="eastAsia"/>
          <w:b/>
          <w:color w:val="auto"/>
          <w:highlight w:val="none"/>
          <w:lang w:bidi="ar"/>
        </w:rPr>
      </w:pPr>
    </w:p>
    <w:p w14:paraId="56778198">
      <w:pPr>
        <w:pStyle w:val="19"/>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19"/>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38E79315">
      <w:pPr>
        <w:rPr>
          <w:rFonts w:hint="eastAsia"/>
          <w:color w:val="auto"/>
          <w:highlight w:val="none"/>
        </w:rPr>
      </w:pPr>
    </w:p>
    <w:p w14:paraId="3ACDE330">
      <w:pPr>
        <w:pStyle w:val="23"/>
        <w:rPr>
          <w:rFonts w:hint="eastAsia"/>
          <w:color w:val="auto"/>
          <w:highlight w:val="none"/>
        </w:rPr>
      </w:pPr>
    </w:p>
    <w:p w14:paraId="12E281A0">
      <w:pPr>
        <w:rPr>
          <w:rFonts w:hint="eastAsia"/>
          <w:color w:val="auto"/>
          <w:highlight w:val="none"/>
        </w:rPr>
      </w:pPr>
    </w:p>
    <w:p w14:paraId="5B369E27">
      <w:pPr>
        <w:pStyle w:val="23"/>
        <w:rPr>
          <w:rFonts w:hint="eastAsia"/>
          <w:color w:val="auto"/>
          <w:highlight w:val="none"/>
        </w:rPr>
      </w:pPr>
    </w:p>
    <w:p w14:paraId="39693D30">
      <w:pPr>
        <w:rPr>
          <w:rFonts w:hint="eastAsia"/>
          <w:color w:val="auto"/>
          <w:highlight w:val="none"/>
        </w:rPr>
      </w:pPr>
    </w:p>
    <w:p w14:paraId="02DB60ED">
      <w:pPr>
        <w:pStyle w:val="23"/>
        <w:rPr>
          <w:rFonts w:hint="eastAsia"/>
          <w:color w:val="auto"/>
          <w:highlight w:val="none"/>
        </w:rPr>
      </w:pPr>
    </w:p>
    <w:p w14:paraId="2D4923C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、开标一览表</w:t>
      </w:r>
      <w:bookmarkEnd w:id="206"/>
      <w:bookmarkEnd w:id="20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61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A98483B">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BD9C6B7">
            <w:pPr>
              <w:spacing w:line="360" w:lineRule="exact"/>
              <w:jc w:val="center"/>
              <w:rPr>
                <w:rFonts w:asciiTheme="minorEastAsia" w:hAnsiTheme="minorEastAsia" w:eastAsiaTheme="minorEastAsia"/>
                <w:bCs/>
                <w:color w:val="auto"/>
                <w:sz w:val="24"/>
                <w:highlight w:val="none"/>
                <w:u w:val="single"/>
              </w:rPr>
            </w:pPr>
          </w:p>
        </w:tc>
      </w:tr>
      <w:tr w14:paraId="71C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B9281E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57B3AB3">
            <w:pPr>
              <w:spacing w:line="360" w:lineRule="auto"/>
              <w:rPr>
                <w:rFonts w:asciiTheme="minorEastAsia" w:hAnsiTheme="minorEastAsia" w:eastAsiaTheme="minorEastAsia"/>
                <w:color w:val="auto"/>
                <w:sz w:val="24"/>
                <w:highlight w:val="none"/>
              </w:rPr>
            </w:pPr>
          </w:p>
        </w:tc>
      </w:tr>
      <w:tr w14:paraId="55BA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2BD4B1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52AD2DF">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231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327A79">
            <w:pPr>
              <w:spacing w:line="360" w:lineRule="exact"/>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投标报价</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折扣率</w:t>
            </w:r>
            <w:r>
              <w:rPr>
                <w:rFonts w:hint="eastAsia" w:asciiTheme="minorEastAsia" w:hAnsiTheme="minorEastAsia" w:eastAsiaTheme="minorEastAsia"/>
                <w:b/>
                <w:color w:val="auto"/>
                <w:sz w:val="24"/>
                <w:highlight w:val="none"/>
                <w:lang w:eastAsia="zh-CN"/>
              </w:rPr>
              <w:t>）</w:t>
            </w:r>
          </w:p>
        </w:tc>
        <w:tc>
          <w:tcPr>
            <w:tcW w:w="3648" w:type="pct"/>
            <w:tcBorders>
              <w:top w:val="nil"/>
            </w:tcBorders>
            <w:vAlign w:val="center"/>
          </w:tcPr>
          <w:p w14:paraId="4D04ABF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百分之</w:t>
            </w:r>
            <w:r>
              <w:rPr>
                <w:rFonts w:hint="eastAsia" w:ascii="宋体" w:hAnsi="宋体" w:eastAsia="宋体" w:cs="宋体"/>
                <w:bCs/>
                <w:color w:val="auto"/>
                <w:sz w:val="24"/>
                <w:szCs w:val="24"/>
                <w:highlight w:val="none"/>
                <w:u w:val="single"/>
              </w:rPr>
              <w:t xml:space="preserve">                     </w:t>
            </w:r>
          </w:p>
          <w:p w14:paraId="0A60EACD">
            <w:pPr>
              <w:keepNext w:val="0"/>
              <w:keepLines w:val="0"/>
              <w:pageBreakBefore w:val="0"/>
              <w:kinsoku/>
              <w:wordWrap/>
              <w:overflowPunct/>
              <w:topLinePunct w:val="0"/>
              <w:autoSpaceDE/>
              <w:autoSpaceDN/>
              <w:bidi w:val="0"/>
              <w:adjustRightInd/>
              <w:spacing w:line="360" w:lineRule="auto"/>
              <w:ind w:right="-670"/>
              <w:textAlignment w:val="auto"/>
              <w:rPr>
                <w:rFonts w:hint="eastAsia"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p>
        </w:tc>
      </w:tr>
      <w:tr w14:paraId="049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A168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D895602">
            <w:pPr>
              <w:spacing w:line="360" w:lineRule="auto"/>
              <w:jc w:val="left"/>
              <w:rPr>
                <w:rFonts w:asciiTheme="minorEastAsia" w:hAnsiTheme="minorEastAsia" w:eastAsiaTheme="minorEastAsia"/>
                <w:color w:val="auto"/>
                <w:sz w:val="24"/>
                <w:szCs w:val="28"/>
                <w:highlight w:val="none"/>
              </w:rPr>
            </w:pPr>
          </w:p>
        </w:tc>
      </w:tr>
    </w:tbl>
    <w:p w14:paraId="712EBA8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06720E7B">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E697A7">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03A17C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2C620D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011E63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w:t>
      </w:r>
      <w:r>
        <w:rPr>
          <w:rFonts w:hint="eastAsia" w:asciiTheme="minorEastAsia" w:hAnsiTheme="minorEastAsia" w:eastAsiaTheme="minorEastAsia"/>
          <w:color w:val="auto"/>
          <w:sz w:val="24"/>
          <w:highlight w:val="none"/>
          <w:lang w:val="en-US" w:eastAsia="zh-CN"/>
        </w:rPr>
        <w:t>报价</w:t>
      </w:r>
      <w:r>
        <w:rPr>
          <w:rFonts w:hint="eastAsia" w:asciiTheme="minorEastAsia" w:hAnsiTheme="minorEastAsia" w:eastAsiaTheme="minorEastAsia"/>
          <w:color w:val="auto"/>
          <w:sz w:val="24"/>
          <w:highlight w:val="none"/>
        </w:rPr>
        <w:t>与小写</w:t>
      </w:r>
      <w:r>
        <w:rPr>
          <w:rFonts w:hint="eastAsia" w:asciiTheme="minorEastAsia" w:hAnsiTheme="minorEastAsia" w:eastAsiaTheme="minorEastAsia"/>
          <w:color w:val="auto"/>
          <w:sz w:val="24"/>
          <w:highlight w:val="none"/>
          <w:lang w:val="en-US" w:eastAsia="zh-CN"/>
        </w:rPr>
        <w:t>报价</w:t>
      </w:r>
      <w:r>
        <w:rPr>
          <w:rFonts w:hint="eastAsia" w:asciiTheme="minorEastAsia" w:hAnsiTheme="minorEastAsia" w:eastAsiaTheme="minorEastAsia"/>
          <w:color w:val="auto"/>
          <w:sz w:val="24"/>
          <w:highlight w:val="none"/>
        </w:rPr>
        <w:t>不一致的，以大写</w:t>
      </w:r>
      <w:r>
        <w:rPr>
          <w:rFonts w:hint="eastAsia" w:asciiTheme="minorEastAsia" w:hAnsiTheme="minorEastAsia" w:eastAsiaTheme="minorEastAsia"/>
          <w:color w:val="auto"/>
          <w:sz w:val="24"/>
          <w:highlight w:val="none"/>
          <w:lang w:val="en-US" w:eastAsia="zh-CN"/>
        </w:rPr>
        <w:t>报价</w:t>
      </w:r>
      <w:r>
        <w:rPr>
          <w:rFonts w:hint="eastAsia" w:asciiTheme="minorEastAsia" w:hAnsiTheme="minorEastAsia" w:eastAsiaTheme="minorEastAsia"/>
          <w:color w:val="auto"/>
          <w:sz w:val="24"/>
          <w:highlight w:val="none"/>
        </w:rPr>
        <w:t>为准。</w:t>
      </w:r>
      <w:r>
        <w:rPr>
          <w:rFonts w:asciiTheme="minorEastAsia" w:hAnsiTheme="minorEastAsia" w:eastAsiaTheme="minorEastAsia"/>
          <w:color w:val="auto"/>
          <w:sz w:val="24"/>
          <w:highlight w:val="none"/>
        </w:rPr>
        <w:br w:type="page"/>
      </w:r>
    </w:p>
    <w:p w14:paraId="100974E3">
      <w:pPr>
        <w:spacing w:line="360" w:lineRule="auto"/>
        <w:jc w:val="center"/>
        <w:outlineLvl w:val="1"/>
        <w:rPr>
          <w:rFonts w:asciiTheme="minorEastAsia" w:hAnsiTheme="minorEastAsia" w:eastAsiaTheme="minorEastAsia"/>
          <w:b/>
          <w:color w:val="auto"/>
          <w:sz w:val="24"/>
          <w:highlight w:val="none"/>
        </w:rPr>
      </w:pPr>
      <w:bookmarkStart w:id="208" w:name="_Toc6120"/>
      <w:bookmarkStart w:id="209" w:name="_Toc644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、投标函</w:t>
      </w:r>
      <w:bookmarkEnd w:id="208"/>
      <w:bookmarkEnd w:id="209"/>
    </w:p>
    <w:p w14:paraId="2C84E476">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4D325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48C1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DB02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CE7B2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2D55F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B035FC">
      <w:pPr>
        <w:spacing w:line="360" w:lineRule="auto"/>
        <w:ind w:firstLine="4800" w:firstLineChars="2000"/>
        <w:rPr>
          <w:rFonts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9A79AEE">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6514DB7">
      <w:pPr>
        <w:numPr>
          <w:ilvl w:val="0"/>
          <w:numId w:val="2"/>
        </w:numPr>
        <w:spacing w:line="360" w:lineRule="auto"/>
        <w:jc w:val="center"/>
        <w:rPr>
          <w:rFonts w:hint="eastAsia" w:ascii="宋体" w:hAnsi="宋体" w:eastAsia="宋体" w:cs="宋体"/>
          <w:b/>
          <w:color w:val="auto"/>
          <w:sz w:val="24"/>
          <w:szCs w:val="24"/>
          <w:highlight w:val="none"/>
          <w:lang w:bidi="ar"/>
        </w:rPr>
      </w:pPr>
      <w:bookmarkStart w:id="210" w:name="_Toc24583"/>
      <w:bookmarkStart w:id="211" w:name="_Toc11607"/>
      <w:r>
        <w:rPr>
          <w:rFonts w:hint="eastAsia" w:ascii="宋体" w:hAnsi="宋体" w:eastAsia="宋体" w:cs="宋体"/>
          <w:b/>
          <w:color w:val="auto"/>
          <w:sz w:val="24"/>
          <w:szCs w:val="24"/>
          <w:highlight w:val="none"/>
          <w:lang w:bidi="ar"/>
        </w:rPr>
        <w:t>投标报价表</w:t>
      </w:r>
    </w:p>
    <w:p w14:paraId="2ECF146B">
      <w:pPr>
        <w:spacing w:line="360" w:lineRule="auto"/>
        <w:jc w:val="left"/>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以医院收费标准为基准，按折扣率进行报价，包含但不限于以下项目（报价折扣率不低于25%）：</w:t>
      </w:r>
    </w:p>
    <w:tbl>
      <w:tblPr>
        <w:tblStyle w:val="2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3603"/>
        <w:gridCol w:w="984"/>
        <w:gridCol w:w="1183"/>
        <w:gridCol w:w="2141"/>
      </w:tblGrid>
      <w:tr w14:paraId="054E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3418084E">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收费项目代码</w:t>
            </w:r>
          </w:p>
        </w:tc>
        <w:tc>
          <w:tcPr>
            <w:tcW w:w="3603" w:type="dxa"/>
            <w:vAlign w:val="center"/>
          </w:tcPr>
          <w:p w14:paraId="0C66CEED">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收费项目名称</w:t>
            </w:r>
          </w:p>
        </w:tc>
        <w:tc>
          <w:tcPr>
            <w:tcW w:w="984" w:type="dxa"/>
            <w:vAlign w:val="center"/>
          </w:tcPr>
          <w:p w14:paraId="4107C256">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单位</w:t>
            </w:r>
          </w:p>
        </w:tc>
        <w:tc>
          <w:tcPr>
            <w:tcW w:w="1183" w:type="dxa"/>
            <w:vAlign w:val="center"/>
          </w:tcPr>
          <w:p w14:paraId="3C161D95">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折扣率</w:t>
            </w:r>
          </w:p>
        </w:tc>
        <w:tc>
          <w:tcPr>
            <w:tcW w:w="2141" w:type="dxa"/>
            <w:vAlign w:val="center"/>
          </w:tcPr>
          <w:p w14:paraId="3092494D">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备注</w:t>
            </w:r>
          </w:p>
        </w:tc>
      </w:tr>
      <w:tr w14:paraId="5F8D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65" w:type="dxa"/>
            <w:vAlign w:val="center"/>
          </w:tcPr>
          <w:p w14:paraId="1EE94779">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HX943702</w:t>
            </w:r>
          </w:p>
        </w:tc>
        <w:tc>
          <w:tcPr>
            <w:tcW w:w="3603" w:type="dxa"/>
            <w:vAlign w:val="center"/>
          </w:tcPr>
          <w:p w14:paraId="765FE5E7">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医学3D模型设计与制作</w:t>
            </w:r>
          </w:p>
        </w:tc>
        <w:tc>
          <w:tcPr>
            <w:tcW w:w="984" w:type="dxa"/>
            <w:vAlign w:val="center"/>
          </w:tcPr>
          <w:p w14:paraId="58894ACA">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次</w:t>
            </w:r>
          </w:p>
        </w:tc>
        <w:tc>
          <w:tcPr>
            <w:tcW w:w="1183" w:type="dxa"/>
            <w:vMerge w:val="restart"/>
            <w:vAlign w:val="center"/>
          </w:tcPr>
          <w:p w14:paraId="6BCA6BD1">
            <w:pPr>
              <w:spacing w:line="360" w:lineRule="auto"/>
              <w:jc w:val="center"/>
              <w:rPr>
                <w:rFonts w:hint="eastAsia" w:ascii="宋体" w:hAnsi="宋体" w:eastAsia="宋体" w:cs="宋体"/>
                <w:color w:val="auto"/>
                <w:sz w:val="24"/>
                <w:szCs w:val="24"/>
                <w:highlight w:val="none"/>
                <w:lang w:val="en-US" w:eastAsia="zh-CN" w:bidi="ar"/>
              </w:rPr>
            </w:pPr>
          </w:p>
        </w:tc>
        <w:tc>
          <w:tcPr>
            <w:tcW w:w="2141" w:type="dxa"/>
            <w:vMerge w:val="restart"/>
            <w:vAlign w:val="center"/>
          </w:tcPr>
          <w:p w14:paraId="02D4BAB5">
            <w:pPr>
              <w:spacing w:line="360" w:lineRule="auto"/>
              <w:jc w:val="center"/>
              <w:rPr>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b/>
                <w:bCs/>
                <w:color w:val="auto"/>
                <w:sz w:val="24"/>
                <w:highlight w:val="none"/>
              </w:rPr>
              <w:t>结算总价=∑结算单价×实际服务数量</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其中</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结算单价=医院收费基准×（1-折扣率）</w:t>
            </w:r>
            <w:r>
              <w:rPr>
                <w:rFonts w:hint="eastAsia" w:asciiTheme="minorEastAsia" w:hAnsiTheme="minorEastAsia" w:eastAsiaTheme="minorEastAsia"/>
                <w:b/>
                <w:bCs/>
                <w:color w:val="auto"/>
                <w:sz w:val="24"/>
                <w:highlight w:val="none"/>
                <w:lang w:eastAsia="zh-CN"/>
              </w:rPr>
              <w:t>】</w:t>
            </w:r>
          </w:p>
        </w:tc>
      </w:tr>
      <w:tr w14:paraId="138E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565" w:type="dxa"/>
            <w:vAlign w:val="center"/>
          </w:tcPr>
          <w:p w14:paraId="61F6C126">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FQT07103</w:t>
            </w:r>
          </w:p>
        </w:tc>
        <w:tc>
          <w:tcPr>
            <w:tcW w:w="3603" w:type="dxa"/>
            <w:vAlign w:val="center"/>
          </w:tcPr>
          <w:p w14:paraId="1845E81D">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复杂手术可视化诊疗计划、器官与血供系统的三维可视化评估及模拟</w:t>
            </w:r>
            <w:bookmarkStart w:id="226" w:name="_GoBack"/>
            <w:bookmarkEnd w:id="226"/>
            <w:r>
              <w:rPr>
                <w:rFonts w:hint="eastAsia" w:ascii="宋体" w:hAnsi="宋体" w:eastAsia="宋体" w:cs="宋体"/>
                <w:color w:val="auto"/>
                <w:sz w:val="24"/>
                <w:szCs w:val="24"/>
                <w:highlight w:val="none"/>
                <w:lang w:val="en-US" w:eastAsia="zh-CN" w:bidi="ar"/>
              </w:rPr>
              <w:t>手术</w:t>
            </w:r>
          </w:p>
        </w:tc>
        <w:tc>
          <w:tcPr>
            <w:tcW w:w="984" w:type="dxa"/>
            <w:vAlign w:val="center"/>
          </w:tcPr>
          <w:p w14:paraId="7C0D9B64">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次</w:t>
            </w:r>
          </w:p>
        </w:tc>
        <w:tc>
          <w:tcPr>
            <w:tcW w:w="1183" w:type="dxa"/>
            <w:vMerge w:val="continue"/>
            <w:vAlign w:val="center"/>
          </w:tcPr>
          <w:p w14:paraId="4B7398DA">
            <w:pPr>
              <w:spacing w:line="360" w:lineRule="auto"/>
              <w:jc w:val="left"/>
              <w:rPr>
                <w:rFonts w:hint="eastAsia" w:ascii="方正仿宋_GB2312" w:hAnsi="方正仿宋_GB2312" w:eastAsia="方正仿宋_GB2312" w:cs="方正仿宋_GB2312"/>
                <w:color w:val="auto"/>
                <w:highlight w:val="none"/>
                <w:vertAlign w:val="baseline"/>
                <w:lang w:val="en-US" w:eastAsia="zh-CN"/>
              </w:rPr>
            </w:pPr>
          </w:p>
        </w:tc>
        <w:tc>
          <w:tcPr>
            <w:tcW w:w="2141" w:type="dxa"/>
            <w:vMerge w:val="continue"/>
            <w:vAlign w:val="center"/>
          </w:tcPr>
          <w:p w14:paraId="76B3E047">
            <w:pPr>
              <w:spacing w:line="360" w:lineRule="auto"/>
              <w:jc w:val="left"/>
              <w:rPr>
                <w:rFonts w:hint="eastAsia" w:ascii="方正仿宋_GB2312" w:hAnsi="方正仿宋_GB2312" w:eastAsia="方正仿宋_GB2312" w:cs="方正仿宋_GB2312"/>
                <w:color w:val="auto"/>
                <w:highlight w:val="none"/>
                <w:vertAlign w:val="baseline"/>
                <w:lang w:val="en-US" w:eastAsia="zh-CN"/>
              </w:rPr>
            </w:pPr>
          </w:p>
        </w:tc>
      </w:tr>
      <w:tr w14:paraId="2A7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565" w:type="dxa"/>
            <w:shd w:val="clear" w:color="auto" w:fill="auto"/>
            <w:vAlign w:val="center"/>
          </w:tcPr>
          <w:p w14:paraId="351B4A4E">
            <w:pPr>
              <w:spacing w:line="360" w:lineRule="auto"/>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投标折扣率</w:t>
            </w:r>
          </w:p>
        </w:tc>
        <w:tc>
          <w:tcPr>
            <w:tcW w:w="7911" w:type="dxa"/>
            <w:gridSpan w:val="4"/>
            <w:shd w:val="clear" w:color="auto" w:fill="auto"/>
            <w:vAlign w:val="center"/>
          </w:tcPr>
          <w:p w14:paraId="762B139D">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lang w:val="en-US" w:eastAsia="zh-CN" w:bidi="ar"/>
              </w:rPr>
              <w:t>百分之</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75596923">
      <w:pPr>
        <w:numPr>
          <w:ilvl w:val="0"/>
          <w:numId w:val="0"/>
        </w:numPr>
        <w:spacing w:line="360" w:lineRule="auto"/>
        <w:jc w:val="both"/>
        <w:rPr>
          <w:rFonts w:hint="eastAsia" w:ascii="宋体" w:hAnsi="宋体" w:eastAsia="宋体" w:cs="宋体"/>
          <w:b/>
          <w:color w:val="auto"/>
          <w:sz w:val="24"/>
          <w:szCs w:val="24"/>
          <w:highlight w:val="none"/>
          <w:lang w:bidi="ar"/>
        </w:rPr>
      </w:pPr>
    </w:p>
    <w:p w14:paraId="36B3DCAB">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78B6B69A">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60335B">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65134D5F">
      <w:pPr>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注：表中所列</w:t>
      </w:r>
      <w:r>
        <w:rPr>
          <w:rFonts w:hint="eastAsia" w:ascii="宋体" w:hAnsi="宋体" w:eastAsia="宋体" w:cs="宋体"/>
          <w:color w:val="auto"/>
          <w:sz w:val="24"/>
          <w:szCs w:val="24"/>
          <w:highlight w:val="none"/>
          <w:lang w:val="en-US" w:eastAsia="zh-CN" w:bidi="ar"/>
        </w:rPr>
        <w:t>内容</w:t>
      </w:r>
      <w:r>
        <w:rPr>
          <w:rFonts w:hint="eastAsia" w:ascii="宋体" w:hAnsi="宋体" w:eastAsia="宋体" w:cs="宋体"/>
          <w:color w:val="auto"/>
          <w:sz w:val="24"/>
          <w:szCs w:val="24"/>
          <w:highlight w:val="none"/>
          <w:lang w:bidi="ar"/>
        </w:rPr>
        <w:t>为对应本项目需求的全部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报价应含有服务（货物）、利润、税金、政策性文件规定及合同包含的所有风险、责任、义务等，即为完成采购文件要求的服务内容所包含的一切应有费用。如有漏项或缺项，投标人承担全部责任。</w:t>
      </w:r>
    </w:p>
    <w:p w14:paraId="03165126">
      <w:pPr>
        <w:spacing w:line="360" w:lineRule="auto"/>
        <w:jc w:val="center"/>
        <w:rPr>
          <w:rFonts w:hint="eastAsia" w:ascii="宋体" w:hAnsi="宋体" w:eastAsia="宋体" w:cs="宋体"/>
          <w:b/>
          <w:color w:val="auto"/>
          <w:sz w:val="24"/>
          <w:szCs w:val="24"/>
          <w:highlight w:val="none"/>
          <w:lang w:bidi="ar"/>
        </w:rPr>
      </w:pPr>
    </w:p>
    <w:p w14:paraId="75244CDE">
      <w:pPr>
        <w:spacing w:line="360" w:lineRule="auto"/>
        <w:jc w:val="center"/>
        <w:rPr>
          <w:rFonts w:hint="eastAsia" w:ascii="宋体" w:hAnsi="宋体" w:eastAsia="宋体" w:cs="宋体"/>
          <w:b/>
          <w:color w:val="auto"/>
          <w:sz w:val="24"/>
          <w:szCs w:val="24"/>
          <w:highlight w:val="none"/>
          <w:lang w:bidi="ar"/>
        </w:rPr>
      </w:pPr>
    </w:p>
    <w:p w14:paraId="7548B7F2">
      <w:pPr>
        <w:spacing w:line="360" w:lineRule="auto"/>
        <w:jc w:val="center"/>
        <w:rPr>
          <w:rFonts w:hint="eastAsia" w:ascii="宋体" w:hAnsi="宋体" w:eastAsia="宋体" w:cs="宋体"/>
          <w:b/>
          <w:color w:val="auto"/>
          <w:sz w:val="24"/>
          <w:szCs w:val="24"/>
          <w:highlight w:val="none"/>
          <w:lang w:bidi="ar"/>
        </w:rPr>
      </w:pPr>
    </w:p>
    <w:p w14:paraId="5CE188FE">
      <w:pPr>
        <w:spacing w:line="360" w:lineRule="auto"/>
        <w:jc w:val="center"/>
        <w:rPr>
          <w:rFonts w:hint="eastAsia" w:ascii="宋体" w:hAnsi="宋体" w:eastAsia="宋体" w:cs="宋体"/>
          <w:b/>
          <w:color w:val="auto"/>
          <w:sz w:val="24"/>
          <w:szCs w:val="24"/>
          <w:highlight w:val="none"/>
          <w:lang w:bidi="ar"/>
        </w:rPr>
      </w:pPr>
    </w:p>
    <w:p w14:paraId="3736905F">
      <w:pPr>
        <w:pStyle w:val="23"/>
        <w:rPr>
          <w:rFonts w:hint="eastAsia" w:ascii="宋体" w:hAnsi="宋体" w:eastAsia="宋体" w:cs="宋体"/>
          <w:b/>
          <w:color w:val="auto"/>
          <w:sz w:val="24"/>
          <w:szCs w:val="24"/>
          <w:highlight w:val="none"/>
          <w:lang w:bidi="ar"/>
        </w:rPr>
      </w:pPr>
    </w:p>
    <w:p w14:paraId="201B1BF2">
      <w:pPr>
        <w:rPr>
          <w:rFonts w:hint="eastAsia" w:ascii="宋体" w:hAnsi="宋体" w:eastAsia="宋体" w:cs="宋体"/>
          <w:b/>
          <w:color w:val="auto"/>
          <w:sz w:val="24"/>
          <w:szCs w:val="24"/>
          <w:highlight w:val="none"/>
          <w:lang w:bidi="ar"/>
        </w:rPr>
      </w:pPr>
    </w:p>
    <w:p w14:paraId="297C8759">
      <w:pPr>
        <w:rPr>
          <w:rFonts w:hint="eastAsia" w:ascii="宋体" w:hAnsi="宋体" w:eastAsia="宋体" w:cs="宋体"/>
          <w:b/>
          <w:color w:val="auto"/>
          <w:sz w:val="24"/>
          <w:szCs w:val="24"/>
          <w:highlight w:val="none"/>
          <w:lang w:bidi="ar"/>
        </w:rPr>
      </w:pPr>
    </w:p>
    <w:p w14:paraId="3338DD60">
      <w:pPr>
        <w:rPr>
          <w:rFonts w:hint="eastAsia" w:ascii="宋体" w:hAnsi="宋体" w:eastAsia="宋体" w:cs="宋体"/>
          <w:b/>
          <w:color w:val="auto"/>
          <w:sz w:val="24"/>
          <w:szCs w:val="24"/>
          <w:highlight w:val="none"/>
          <w:lang w:bidi="ar"/>
        </w:rPr>
      </w:pPr>
    </w:p>
    <w:p w14:paraId="1A7B0BDD">
      <w:pPr>
        <w:rPr>
          <w:rFonts w:hint="eastAsia" w:ascii="宋体" w:hAnsi="宋体" w:eastAsia="宋体" w:cs="宋体"/>
          <w:b/>
          <w:color w:val="auto"/>
          <w:sz w:val="24"/>
          <w:szCs w:val="24"/>
          <w:highlight w:val="none"/>
          <w:lang w:bidi="ar"/>
        </w:rPr>
      </w:pPr>
    </w:p>
    <w:p w14:paraId="06A71417">
      <w:pPr>
        <w:rPr>
          <w:rFonts w:hint="eastAsia" w:ascii="宋体" w:hAnsi="宋体" w:eastAsia="宋体" w:cs="宋体"/>
          <w:b/>
          <w:color w:val="auto"/>
          <w:sz w:val="24"/>
          <w:szCs w:val="24"/>
          <w:highlight w:val="none"/>
          <w:lang w:bidi="ar"/>
        </w:rPr>
      </w:pPr>
    </w:p>
    <w:p w14:paraId="1AA124A1">
      <w:pPr>
        <w:rPr>
          <w:rFonts w:hint="eastAsia" w:ascii="宋体" w:hAnsi="宋体" w:eastAsia="宋体" w:cs="宋体"/>
          <w:b/>
          <w:color w:val="auto"/>
          <w:sz w:val="24"/>
          <w:szCs w:val="24"/>
          <w:highlight w:val="none"/>
          <w:lang w:bidi="ar"/>
        </w:rPr>
      </w:pPr>
    </w:p>
    <w:p w14:paraId="53D7C97F">
      <w:pPr>
        <w:rPr>
          <w:rFonts w:hint="eastAsia" w:ascii="宋体" w:hAnsi="宋体" w:eastAsia="宋体" w:cs="宋体"/>
          <w:b/>
          <w:color w:val="auto"/>
          <w:sz w:val="24"/>
          <w:szCs w:val="24"/>
          <w:highlight w:val="none"/>
          <w:lang w:bidi="ar"/>
        </w:r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4"/>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076"/>
        <w:gridCol w:w="2320"/>
        <w:gridCol w:w="2312"/>
        <w:gridCol w:w="1474"/>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59" w:type="pct"/>
            <w:tcBorders>
              <w:top w:val="single" w:color="auto" w:sz="4" w:space="0"/>
              <w:left w:val="nil"/>
              <w:bottom w:val="single" w:color="auto" w:sz="4" w:space="0"/>
              <w:right w:val="single" w:color="auto" w:sz="4" w:space="0"/>
            </w:tcBorders>
            <w:shd w:val="clear" w:color="auto" w:fill="auto"/>
            <w:vAlign w:val="center"/>
          </w:tcPr>
          <w:p w14:paraId="4BCA7785">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295" w:type="pct"/>
            <w:tcBorders>
              <w:top w:val="single" w:color="auto" w:sz="4" w:space="0"/>
              <w:left w:val="nil"/>
              <w:bottom w:val="single" w:color="auto" w:sz="4" w:space="0"/>
              <w:right w:val="single" w:color="auto" w:sz="4" w:space="0"/>
            </w:tcBorders>
            <w:shd w:val="clear" w:color="auto" w:fill="auto"/>
            <w:vAlign w:val="center"/>
          </w:tcPr>
          <w:p w14:paraId="31580DCC">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291" w:type="pct"/>
            <w:tcBorders>
              <w:top w:val="single" w:color="auto" w:sz="4" w:space="0"/>
              <w:left w:val="nil"/>
              <w:bottom w:val="single" w:color="auto" w:sz="4" w:space="0"/>
              <w:right w:val="single" w:color="auto" w:sz="4" w:space="0"/>
            </w:tcBorders>
            <w:shd w:val="clear" w:color="auto" w:fill="auto"/>
            <w:vAlign w:val="center"/>
          </w:tcPr>
          <w:p w14:paraId="1A1614D7">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823" w:type="pct"/>
            <w:tcBorders>
              <w:top w:val="single" w:color="auto" w:sz="4" w:space="0"/>
              <w:left w:val="nil"/>
              <w:bottom w:val="single" w:color="auto" w:sz="4" w:space="0"/>
              <w:right w:val="single" w:color="auto" w:sz="4" w:space="0"/>
            </w:tcBorders>
            <w:shd w:val="clear" w:color="auto" w:fill="auto"/>
            <w:vAlign w:val="center"/>
          </w:tcPr>
          <w:p w14:paraId="5C2A4BC1">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59" w:type="pct"/>
            <w:tcBorders>
              <w:top w:val="single" w:color="auto" w:sz="4" w:space="0"/>
              <w:left w:val="nil"/>
              <w:bottom w:val="single" w:color="auto" w:sz="4" w:space="0"/>
              <w:right w:val="single" w:color="auto" w:sz="4" w:space="0"/>
            </w:tcBorders>
            <w:shd w:val="clear" w:color="auto" w:fill="auto"/>
            <w:vAlign w:val="center"/>
          </w:tcPr>
          <w:p w14:paraId="24115DC1">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29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color w:val="auto"/>
                <w:sz w:val="24"/>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59" w:type="pct"/>
            <w:tcBorders>
              <w:top w:val="single" w:color="auto" w:sz="4" w:space="0"/>
              <w:left w:val="nil"/>
              <w:bottom w:val="single" w:color="auto" w:sz="4" w:space="0"/>
              <w:right w:val="single" w:color="auto" w:sz="4" w:space="0"/>
            </w:tcBorders>
            <w:shd w:val="clear" w:color="auto" w:fill="auto"/>
            <w:vAlign w:val="center"/>
          </w:tcPr>
          <w:p w14:paraId="4DF35B2F">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服务地点</w:t>
            </w:r>
          </w:p>
        </w:tc>
        <w:tc>
          <w:tcPr>
            <w:tcW w:w="129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color w:val="auto"/>
                <w:sz w:val="24"/>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59" w:type="pct"/>
            <w:tcBorders>
              <w:top w:val="single" w:color="auto" w:sz="4" w:space="0"/>
              <w:left w:val="nil"/>
              <w:bottom w:val="single" w:color="auto" w:sz="4" w:space="0"/>
              <w:right w:val="single" w:color="auto" w:sz="4" w:space="0"/>
            </w:tcBorders>
            <w:shd w:val="clear" w:color="auto" w:fill="auto"/>
            <w:vAlign w:val="center"/>
          </w:tcPr>
          <w:p w14:paraId="10CDC537">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服务期限</w:t>
            </w:r>
          </w:p>
        </w:tc>
        <w:tc>
          <w:tcPr>
            <w:tcW w:w="129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4979325">
            <w:pPr>
              <w:pStyle w:val="19"/>
              <w:spacing w:before="0" w:beforeAutospacing="0" w:after="0" w:afterAutospacing="0"/>
              <w:jc w:val="center"/>
              <w:rPr>
                <w:rFonts w:hint="eastAsia" w:ascii="宋体" w:hAnsi="宋体" w:eastAsia="宋体" w:cs="Arial"/>
                <w:color w:val="auto"/>
                <w:kern w:val="2"/>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0B65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54992D7">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4</w:t>
            </w:r>
          </w:p>
        </w:tc>
        <w:tc>
          <w:tcPr>
            <w:tcW w:w="1159" w:type="pct"/>
            <w:tcBorders>
              <w:top w:val="single" w:color="auto" w:sz="4" w:space="0"/>
              <w:left w:val="nil"/>
              <w:bottom w:val="single" w:color="auto" w:sz="4" w:space="0"/>
              <w:right w:val="single" w:color="auto" w:sz="4" w:space="0"/>
            </w:tcBorders>
            <w:shd w:val="clear" w:color="auto" w:fill="auto"/>
            <w:vAlign w:val="center"/>
          </w:tcPr>
          <w:p w14:paraId="11B16C7A">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 xml:space="preserve">“采购需求”所 </w:t>
            </w:r>
          </w:p>
          <w:p w14:paraId="08B88D5B">
            <w:pPr>
              <w:jc w:val="center"/>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lang w:val="en-US" w:eastAsia="zh-CN"/>
              </w:rPr>
              <w:t>列的所有内容</w:t>
            </w:r>
          </w:p>
        </w:tc>
        <w:tc>
          <w:tcPr>
            <w:tcW w:w="1295" w:type="pct"/>
            <w:tcBorders>
              <w:top w:val="single" w:color="auto" w:sz="4" w:space="0"/>
              <w:left w:val="nil"/>
              <w:bottom w:val="single" w:color="auto" w:sz="4" w:space="0"/>
              <w:right w:val="single" w:color="auto" w:sz="4" w:space="0"/>
            </w:tcBorders>
            <w:shd w:val="clear" w:color="auto" w:fill="auto"/>
            <w:vAlign w:val="center"/>
          </w:tcPr>
          <w:p w14:paraId="299974BE">
            <w:pPr>
              <w:jc w:val="center"/>
              <w:rPr>
                <w:rFonts w:hint="eastAsia" w:ascii="宋体" w:hAnsi="宋体" w:eastAsia="宋体"/>
                <w:b/>
                <w:bCs/>
                <w:color w:val="auto"/>
                <w:sz w:val="24"/>
                <w:highlight w:val="none"/>
              </w:rPr>
            </w:pPr>
            <w:r>
              <w:rPr>
                <w:rFonts w:hint="eastAsia" w:asciiTheme="minorEastAsia" w:hAnsiTheme="minorEastAsia" w:eastAsiaTheme="minorEastAsia"/>
                <w:b/>
                <w:bCs/>
                <w:color w:val="auto"/>
                <w:sz w:val="24"/>
                <w:highlight w:val="none"/>
                <w:lang w:val="en-US" w:eastAsia="zh-CN"/>
              </w:rPr>
              <w:t>详见</w:t>
            </w:r>
            <w:r>
              <w:rPr>
                <w:rFonts w:hint="eastAsia" w:ascii="宋体" w:hAnsi="宋体" w:eastAsia="宋体"/>
                <w:b/>
                <w:bCs/>
                <w:color w:val="auto"/>
                <w:sz w:val="24"/>
                <w:highlight w:val="none"/>
                <w:lang w:val="en-US" w:eastAsia="zh-CN"/>
              </w:rPr>
              <w:t xml:space="preserve">采购需求所 </w:t>
            </w:r>
          </w:p>
          <w:p w14:paraId="1EF33CFF">
            <w:pPr>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宋体" w:hAnsi="宋体" w:eastAsia="宋体"/>
                <w:b/>
                <w:bCs/>
                <w:color w:val="auto"/>
                <w:sz w:val="24"/>
                <w:highlight w:val="none"/>
                <w:lang w:val="en-US" w:eastAsia="zh-CN"/>
              </w:rPr>
              <w:t>列的所有内容</w:t>
            </w:r>
          </w:p>
        </w:tc>
        <w:tc>
          <w:tcPr>
            <w:tcW w:w="1291" w:type="pct"/>
            <w:tcBorders>
              <w:top w:val="single" w:color="auto" w:sz="4" w:space="0"/>
              <w:left w:val="nil"/>
              <w:bottom w:val="single" w:color="auto" w:sz="4" w:space="0"/>
              <w:right w:val="single" w:color="auto" w:sz="4" w:space="0"/>
            </w:tcBorders>
            <w:shd w:val="clear" w:color="auto" w:fill="auto"/>
            <w:vAlign w:val="center"/>
          </w:tcPr>
          <w:p w14:paraId="2E2CDA42">
            <w:pPr>
              <w:pStyle w:val="41"/>
              <w:jc w:val="center"/>
              <w:rPr>
                <w:rFonts w:hint="eastAsia" w:cs="Arial" w:asciiTheme="minorEastAsia" w:hAnsiTheme="minorEastAsia" w:eastAsiaTheme="minorEastAsia"/>
                <w:color w:val="auto"/>
                <w:kern w:val="2"/>
                <w:sz w:val="24"/>
                <w:highlight w:val="none"/>
                <w:lang w:val="en-US" w:eastAsia="zh-CN" w:bidi="ar-SA"/>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0CA82C2D">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szCs w:val="24"/>
                <w:highlight w:val="none"/>
                <w:lang w:val="en-US" w:eastAsia="zh-CN"/>
              </w:rPr>
              <w:t>是/否</w:t>
            </w:r>
          </w:p>
        </w:tc>
      </w:tr>
    </w:tbl>
    <w:p w14:paraId="36E3318D">
      <w:pPr>
        <w:spacing w:line="360" w:lineRule="auto"/>
        <w:ind w:firstLine="4800" w:firstLineChars="2000"/>
        <w:rPr>
          <w:rFonts w:hint="eastAsia" w:ascii="宋体" w:hAnsi="宋体" w:eastAsia="宋体" w:cs="宋体"/>
          <w:color w:val="auto"/>
          <w:sz w:val="24"/>
          <w:szCs w:val="24"/>
          <w:highlight w:val="none"/>
          <w:lang w:bidi="ar"/>
        </w:rPr>
      </w:pPr>
    </w:p>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19"/>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192633EA">
      <w:pPr>
        <w:widowControl/>
        <w:jc w:val="left"/>
        <w:rPr>
          <w:rFonts w:hint="eastAsia" w:ascii="宋体" w:hAnsi="宋体" w:eastAsia="宋体" w:cs="Arial"/>
          <w:color w:val="auto"/>
          <w:sz w:val="24"/>
          <w:szCs w:val="24"/>
          <w:highlight w:val="none"/>
          <w:lang w:bidi="ar"/>
        </w:rPr>
      </w:pPr>
      <w:r>
        <w:rPr>
          <w:rFonts w:hint="eastAsia" w:ascii="宋体" w:hAnsi="宋体" w:eastAsia="宋体" w:cs="Arial"/>
          <w:color w:val="auto"/>
          <w:sz w:val="24"/>
          <w:szCs w:val="24"/>
          <w:highlight w:val="none"/>
          <w:lang w:bidi="ar"/>
        </w:rPr>
        <w:br w:type="page"/>
      </w:r>
      <w:bookmarkEnd w:id="210"/>
      <w:bookmarkEnd w:id="211"/>
    </w:p>
    <w:p w14:paraId="7C94AE01">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八、诚信投标承诺书</w:t>
      </w:r>
    </w:p>
    <w:p w14:paraId="2CFFA081">
      <w:pPr>
        <w:keepNext w:val="0"/>
        <w:keepLines w:val="0"/>
        <w:widowControl w:val="0"/>
        <w:suppressLineNumbers w:val="0"/>
        <w:spacing w:before="0" w:beforeAutospacing="0" w:after="0" w:afterAutospacing="0" w:line="500" w:lineRule="exact"/>
        <w:ind w:left="0" w:right="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4595D72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14B74D3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EC133E7">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320D818A">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3391F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00BC668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color w:val="auto"/>
          <w:highlight w:val="none"/>
        </w:rPr>
      </w:pPr>
      <w:r>
        <w:rPr>
          <w:rFonts w:hint="eastAsia" w:ascii="宋体" w:hAnsi="宋体" w:eastAsia="宋体" w:cs="宋体"/>
          <w:color w:val="auto"/>
          <w:kern w:val="2"/>
          <w:sz w:val="24"/>
          <w:szCs w:val="24"/>
          <w:highlight w:val="none"/>
          <w:lang w:val="en-US" w:eastAsia="zh-CN" w:bidi="ar"/>
        </w:rPr>
        <w:t>六、</w:t>
      </w:r>
      <w:r>
        <w:rPr>
          <w:rFonts w:hint="eastAsia" w:ascii="宋体" w:hAnsi="宋体" w:eastAsia="宋体" w:cs="宋体"/>
          <w:color w:val="auto"/>
          <w:kern w:val="2"/>
          <w:sz w:val="24"/>
          <w:szCs w:val="24"/>
          <w:highlight w:val="none"/>
          <w:u w:val="none"/>
          <w:lang w:val="en-US" w:eastAsia="zh-CN" w:bidi="ar"/>
        </w:rPr>
        <w:t>我单位</w:t>
      </w:r>
      <w:r>
        <w:rPr>
          <w:rFonts w:hint="eastAsia" w:ascii="宋体" w:hAnsi="宋体" w:eastAsia="宋体" w:cs="宋体"/>
          <w:color w:val="auto"/>
          <w:kern w:val="0"/>
          <w:sz w:val="24"/>
          <w:szCs w:val="24"/>
          <w:highlight w:val="none"/>
          <w:lang w:val="en-US" w:eastAsia="zh-CN" w:bidi="ar"/>
        </w:rPr>
        <w:t>或</w:t>
      </w:r>
      <w:r>
        <w:rPr>
          <w:rFonts w:hint="eastAsia" w:ascii="宋体" w:hAnsi="宋体" w:eastAsia="宋体" w:cs="宋体"/>
          <w:color w:val="auto"/>
          <w:kern w:val="2"/>
          <w:sz w:val="24"/>
          <w:szCs w:val="24"/>
          <w:highlight w:val="none"/>
          <w:u w:val="none"/>
          <w:lang w:val="en-US" w:eastAsia="zh-CN" w:bidi="ar"/>
        </w:rPr>
        <w:t>我单位</w:t>
      </w:r>
      <w:r>
        <w:rPr>
          <w:rFonts w:hint="eastAsia" w:ascii="宋体" w:hAnsi="宋体" w:eastAsia="宋体" w:cs="宋体"/>
          <w:color w:val="auto"/>
          <w:sz w:val="24"/>
          <w:szCs w:val="24"/>
          <w:highlight w:val="none"/>
          <w:lang w:val="en-US" w:eastAsia="zh-CN"/>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2CB85F8E">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七、严格遵守开标现场纪律，服从监管人员管理；</w:t>
      </w:r>
    </w:p>
    <w:p w14:paraId="07F6CB04">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八、保证中标后不转包，若有分包征得招标人同意；</w:t>
      </w:r>
    </w:p>
    <w:p w14:paraId="66647BEC">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九、保证中标之后，按照投标文件要求提供相关后续服务；</w:t>
      </w:r>
    </w:p>
    <w:p w14:paraId="1FF83CD9">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十、保证企业及所属相关人员在本次投标中无行贿等犯罪行为；</w:t>
      </w:r>
    </w:p>
    <w:p w14:paraId="4EF73612">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72DD48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276A51F3">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C3D55A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37231F9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w:t>
      </w:r>
      <w:r>
        <w:rPr>
          <w:rFonts w:hint="eastAsia" w:ascii="宋体" w:hAnsi="宋体" w:eastAsia="宋体" w:cs="宋体"/>
          <w:bCs/>
          <w:color w:val="auto"/>
          <w:sz w:val="24"/>
          <w:szCs w:val="24"/>
          <w:highlight w:val="none"/>
          <w:lang w:bidi="ar"/>
        </w:rPr>
        <w:t>盖章</w:t>
      </w:r>
      <w:r>
        <w:rPr>
          <w:rFonts w:hint="eastAsia" w:ascii="宋体" w:hAnsi="宋体" w:eastAsia="宋体" w:cs="宋体"/>
          <w:color w:val="auto"/>
          <w:kern w:val="2"/>
          <w:sz w:val="24"/>
          <w:szCs w:val="24"/>
          <w:highlight w:val="none"/>
          <w:lang w:val="en-US" w:eastAsia="zh-CN" w:bidi="ar"/>
        </w:rPr>
        <w:t>）：              法定代表人（签字或盖章）：</w:t>
      </w:r>
    </w:p>
    <w:p w14:paraId="4A10A231">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D135D03">
      <w:pPr>
        <w:keepNext w:val="0"/>
        <w:keepLines w:val="0"/>
        <w:widowControl w:val="0"/>
        <w:suppressLineNumbers w:val="0"/>
        <w:spacing w:before="0" w:beforeAutospacing="0" w:after="0" w:afterAutospacing="0" w:line="560" w:lineRule="exact"/>
        <w:ind w:left="0" w:right="0"/>
        <w:jc w:val="right"/>
        <w:outlineLvl w:val="9"/>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122CEA2">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279BB10">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44CB71BD">
      <w:pPr>
        <w:jc w:val="center"/>
        <w:rPr>
          <w:rFonts w:ascii="宋体" w:hAnsi="宋体" w:eastAsia="宋体"/>
          <w:b/>
          <w:bCs/>
          <w:color w:val="auto"/>
          <w:sz w:val="28"/>
          <w:highlight w:val="none"/>
        </w:rPr>
      </w:pPr>
      <w:bookmarkStart w:id="212" w:name="_Toc20819"/>
      <w:bookmarkStart w:id="213"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2"/>
      <w:bookmarkEnd w:id="213"/>
    </w:p>
    <w:p w14:paraId="2F844E93">
      <w:pPr>
        <w:spacing w:line="360" w:lineRule="auto"/>
        <w:jc w:val="center"/>
        <w:outlineLvl w:val="1"/>
        <w:rPr>
          <w:rFonts w:ascii="仿宋" w:hAnsi="仿宋" w:eastAsia="仿宋" w:cs="仿宋"/>
          <w:b/>
          <w:bCs/>
          <w:color w:val="auto"/>
          <w:sz w:val="32"/>
          <w:szCs w:val="44"/>
          <w:highlight w:val="none"/>
        </w:rPr>
      </w:pPr>
      <w:bookmarkStart w:id="214" w:name="_Toc6955"/>
      <w:bookmarkStart w:id="215" w:name="_Toc27159"/>
      <w:r>
        <w:rPr>
          <w:rFonts w:hint="eastAsia" w:ascii="仿宋" w:hAnsi="仿宋" w:eastAsia="仿宋" w:cs="仿宋"/>
          <w:b/>
          <w:bCs/>
          <w:color w:val="auto"/>
          <w:sz w:val="32"/>
          <w:szCs w:val="44"/>
          <w:highlight w:val="none"/>
        </w:rPr>
        <w:t>询问函范本</w:t>
      </w:r>
      <w:bookmarkEnd w:id="214"/>
      <w:bookmarkEnd w:id="215"/>
    </w:p>
    <w:p w14:paraId="4334B616">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F4667E4">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F26864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6A5BA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6" w:name="_Toc13899"/>
      <w:r>
        <w:rPr>
          <w:rFonts w:hint="eastAsia" w:cs="仿宋" w:asciiTheme="minorEastAsia" w:hAnsiTheme="minorEastAsia" w:eastAsiaTheme="minorEastAsia"/>
          <w:color w:val="auto"/>
          <w:sz w:val="24"/>
          <w:szCs w:val="24"/>
          <w:highlight w:val="none"/>
        </w:rPr>
        <w:t>一、(事项一)</w:t>
      </w:r>
      <w:bookmarkEnd w:id="216"/>
    </w:p>
    <w:p w14:paraId="348DB46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9F8305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F06D82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440CE3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7" w:name="_Toc3352"/>
      <w:r>
        <w:rPr>
          <w:rFonts w:hint="eastAsia" w:cs="仿宋" w:asciiTheme="minorEastAsia" w:hAnsiTheme="minorEastAsia" w:eastAsiaTheme="minorEastAsia"/>
          <w:color w:val="auto"/>
          <w:sz w:val="24"/>
          <w:szCs w:val="24"/>
          <w:highlight w:val="none"/>
        </w:rPr>
        <w:t>二、(事项二)</w:t>
      </w:r>
      <w:bookmarkEnd w:id="217"/>
    </w:p>
    <w:p w14:paraId="571E276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FC44D9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84328C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D84F24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A6D9E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24B498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B35B92B">
      <w:pPr>
        <w:jc w:val="center"/>
        <w:outlineLvl w:val="1"/>
        <w:rPr>
          <w:rFonts w:ascii="仿宋" w:hAnsi="仿宋" w:eastAsia="仿宋" w:cs="仿宋"/>
          <w:b/>
          <w:bCs/>
          <w:color w:val="auto"/>
          <w:sz w:val="32"/>
          <w:szCs w:val="44"/>
          <w:highlight w:val="none"/>
        </w:rPr>
      </w:pPr>
      <w:bookmarkStart w:id="218" w:name="_Toc857"/>
      <w:bookmarkStart w:id="219" w:name="_Toc1575"/>
      <w:r>
        <w:rPr>
          <w:rFonts w:hint="eastAsia" w:ascii="仿宋" w:hAnsi="仿宋" w:eastAsia="仿宋" w:cs="仿宋"/>
          <w:b/>
          <w:bCs/>
          <w:color w:val="auto"/>
          <w:sz w:val="32"/>
          <w:szCs w:val="44"/>
          <w:highlight w:val="none"/>
        </w:rPr>
        <w:t>质疑函范本</w:t>
      </w:r>
      <w:bookmarkEnd w:id="218"/>
      <w:bookmarkEnd w:id="219"/>
    </w:p>
    <w:p w14:paraId="0719FFB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20" w:name="_Toc21381"/>
      <w:r>
        <w:rPr>
          <w:rFonts w:hint="eastAsia" w:cs="仿宋" w:asciiTheme="minorEastAsia" w:hAnsiTheme="minorEastAsia" w:eastAsiaTheme="minorEastAsia"/>
          <w:b/>
          <w:bCs/>
          <w:color w:val="auto"/>
          <w:sz w:val="24"/>
          <w:szCs w:val="24"/>
          <w:highlight w:val="none"/>
        </w:rPr>
        <w:t>一、质疑供应商基本信息</w:t>
      </w:r>
      <w:bookmarkEnd w:id="220"/>
    </w:p>
    <w:p w14:paraId="6BFD0B8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010B6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D406E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9B979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486CB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4DF0E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CF354D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1" w:name="_Toc28415"/>
      <w:r>
        <w:rPr>
          <w:rFonts w:hint="eastAsia" w:cs="仿宋" w:asciiTheme="minorEastAsia" w:hAnsiTheme="minorEastAsia" w:eastAsiaTheme="minorEastAsia"/>
          <w:b/>
          <w:bCs/>
          <w:color w:val="auto"/>
          <w:sz w:val="24"/>
          <w:szCs w:val="24"/>
          <w:highlight w:val="none"/>
        </w:rPr>
        <w:t>二、质疑项目基本情况</w:t>
      </w:r>
      <w:bookmarkEnd w:id="221"/>
    </w:p>
    <w:p w14:paraId="366688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6D8313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9E4E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AC8E22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D903C5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2" w:name="_Toc19014"/>
      <w:r>
        <w:rPr>
          <w:rFonts w:hint="eastAsia" w:cs="仿宋" w:asciiTheme="minorEastAsia" w:hAnsiTheme="minorEastAsia" w:eastAsiaTheme="minorEastAsia"/>
          <w:b/>
          <w:bCs/>
          <w:color w:val="auto"/>
          <w:sz w:val="24"/>
          <w:szCs w:val="24"/>
          <w:highlight w:val="none"/>
        </w:rPr>
        <w:t>三、质疑事项具体内容</w:t>
      </w:r>
      <w:bookmarkEnd w:id="222"/>
    </w:p>
    <w:p w14:paraId="3FBD369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6366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1E255E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E51E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6EBA8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C6F5FD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8E889A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583B8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3" w:name="_Toc17919"/>
      <w:r>
        <w:rPr>
          <w:rFonts w:hint="eastAsia" w:cs="仿宋" w:asciiTheme="minorEastAsia" w:hAnsiTheme="minorEastAsia" w:eastAsiaTheme="minorEastAsia"/>
          <w:b/>
          <w:bCs/>
          <w:color w:val="auto"/>
          <w:sz w:val="24"/>
          <w:szCs w:val="24"/>
          <w:highlight w:val="none"/>
        </w:rPr>
        <w:t>四、与质疑事项相关的质疑请求</w:t>
      </w:r>
      <w:bookmarkEnd w:id="223"/>
    </w:p>
    <w:p w14:paraId="3D63D03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6660B0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BA687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A8AB4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888E1CE">
      <w:pPr>
        <w:outlineLvl w:val="0"/>
        <w:rPr>
          <w:rFonts w:asciiTheme="minorEastAsia" w:hAnsiTheme="minorEastAsia" w:eastAsiaTheme="minorEastAsia"/>
          <w:b/>
          <w:color w:val="auto"/>
          <w:sz w:val="28"/>
          <w:szCs w:val="32"/>
          <w:highlight w:val="none"/>
        </w:rPr>
      </w:pPr>
      <w:bookmarkStart w:id="224" w:name="_Toc22239"/>
      <w:bookmarkStart w:id="225" w:name="_Toc9754"/>
      <w:r>
        <w:rPr>
          <w:rFonts w:hint="eastAsia" w:asciiTheme="minorEastAsia" w:hAnsiTheme="minorEastAsia" w:eastAsiaTheme="minorEastAsia"/>
          <w:b/>
          <w:color w:val="auto"/>
          <w:sz w:val="28"/>
          <w:szCs w:val="32"/>
          <w:highlight w:val="none"/>
        </w:rPr>
        <w:t>质疑函制作说明：</w:t>
      </w:r>
      <w:bookmarkEnd w:id="224"/>
      <w:bookmarkEnd w:id="225"/>
    </w:p>
    <w:p w14:paraId="41BC98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D4ACF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62E8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BA16B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2075F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3A610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3DAC0F-8341-4902-8660-ED1C2AF8573E}"/>
  </w:font>
  <w:font w:name="Arial">
    <w:panose1 w:val="020B0604020202020204"/>
    <w:charset w:val="01"/>
    <w:family w:val="swiss"/>
    <w:pitch w:val="default"/>
    <w:sig w:usb0="E0002EFF" w:usb1="C000785B" w:usb2="00000009" w:usb3="00000000" w:csb0="400001FF" w:csb1="FFFF0000"/>
    <w:embedRegular r:id="rId2" w:fontKey="{B60C4847-0A4A-42E6-BAFF-E901E0D8A52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C2CD232-F674-4E3C-8E57-BC7764748814}"/>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embedRegular r:id="rId4" w:fontKey="{C834FCAC-F21C-4B77-8B75-52AD9A1D7854}"/>
  </w:font>
  <w:font w:name="仿宋">
    <w:panose1 w:val="02010609060101010101"/>
    <w:charset w:val="86"/>
    <w:family w:val="modern"/>
    <w:pitch w:val="default"/>
    <w:sig w:usb0="800002BF" w:usb1="38CF7CFA" w:usb2="00000016" w:usb3="00000000" w:csb0="00040001" w:csb1="00000000"/>
    <w:embedRegular r:id="rId5" w:fontKey="{91B0DAFC-7920-4AD9-9512-9957E7096DB5}"/>
  </w:font>
  <w:font w:name="仿宋_GB2312">
    <w:panose1 w:val="02010609030101010101"/>
    <w:charset w:val="86"/>
    <w:family w:val="modern"/>
    <w:pitch w:val="default"/>
    <w:sig w:usb0="00000001" w:usb1="080E0000" w:usb2="00000000" w:usb3="00000000" w:csb0="00040000" w:csb1="00000000"/>
    <w:embedRegular r:id="rId6" w:fontKey="{66A914A0-8718-401F-BF36-8134B50CF6AF}"/>
  </w:font>
  <w:font w:name="方正仿宋_GB2312">
    <w:panose1 w:val="02000000000000000000"/>
    <w:charset w:val="86"/>
    <w:family w:val="auto"/>
    <w:pitch w:val="default"/>
    <w:sig w:usb0="A00002BF" w:usb1="184F6CFA" w:usb2="00000012" w:usb3="00000000" w:csb0="00040001" w:csb1="00000000"/>
    <w:embedRegular r:id="rId7" w:fontKey="{510F1DA2-82F5-4456-91EB-CD95DB4F5D28}"/>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40E">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0447">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1F7C0">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1F7C0">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E58A">
    <w:pPr>
      <w:pStyle w:val="1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3E931CD3"/>
    <w:multiLevelType w:val="singleLevel"/>
    <w:tmpl w:val="3E931CD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486B27"/>
    <w:rsid w:val="040A094E"/>
    <w:rsid w:val="04E36C96"/>
    <w:rsid w:val="052C3F7D"/>
    <w:rsid w:val="056800F4"/>
    <w:rsid w:val="056F201D"/>
    <w:rsid w:val="05B664D4"/>
    <w:rsid w:val="0607422C"/>
    <w:rsid w:val="06A50BF6"/>
    <w:rsid w:val="07076C01"/>
    <w:rsid w:val="071C12AC"/>
    <w:rsid w:val="074E231E"/>
    <w:rsid w:val="07A934B3"/>
    <w:rsid w:val="08122053"/>
    <w:rsid w:val="08B15E54"/>
    <w:rsid w:val="0980799C"/>
    <w:rsid w:val="09897638"/>
    <w:rsid w:val="0A0F6376"/>
    <w:rsid w:val="0A353CEA"/>
    <w:rsid w:val="0A5D3B7D"/>
    <w:rsid w:val="0A6A1171"/>
    <w:rsid w:val="0A6A18DB"/>
    <w:rsid w:val="0AC1251E"/>
    <w:rsid w:val="0AEF3828"/>
    <w:rsid w:val="0BBB665B"/>
    <w:rsid w:val="0C6329E2"/>
    <w:rsid w:val="0CB7664E"/>
    <w:rsid w:val="0CC003F3"/>
    <w:rsid w:val="0E816EC5"/>
    <w:rsid w:val="0EEA6FC1"/>
    <w:rsid w:val="0F76211D"/>
    <w:rsid w:val="0F954485"/>
    <w:rsid w:val="0FBF344F"/>
    <w:rsid w:val="10505F32"/>
    <w:rsid w:val="105A27E6"/>
    <w:rsid w:val="119B0711"/>
    <w:rsid w:val="12197477"/>
    <w:rsid w:val="125B515F"/>
    <w:rsid w:val="13430989"/>
    <w:rsid w:val="13587E2C"/>
    <w:rsid w:val="1466407E"/>
    <w:rsid w:val="14834E28"/>
    <w:rsid w:val="148E7D65"/>
    <w:rsid w:val="14DA092D"/>
    <w:rsid w:val="151D4243"/>
    <w:rsid w:val="15231BF9"/>
    <w:rsid w:val="16184DFC"/>
    <w:rsid w:val="16FC41DD"/>
    <w:rsid w:val="179F5278"/>
    <w:rsid w:val="17E22640"/>
    <w:rsid w:val="19467ED2"/>
    <w:rsid w:val="199C4AD2"/>
    <w:rsid w:val="19B96E07"/>
    <w:rsid w:val="1A3B68AA"/>
    <w:rsid w:val="1A3E1C1E"/>
    <w:rsid w:val="1B6F5FBB"/>
    <w:rsid w:val="1BE33EAB"/>
    <w:rsid w:val="1C141836"/>
    <w:rsid w:val="1E6B6A14"/>
    <w:rsid w:val="1E933BB9"/>
    <w:rsid w:val="1F9C084C"/>
    <w:rsid w:val="20550D9A"/>
    <w:rsid w:val="21262AC3"/>
    <w:rsid w:val="212C79C5"/>
    <w:rsid w:val="21714B53"/>
    <w:rsid w:val="218E2416"/>
    <w:rsid w:val="226915FE"/>
    <w:rsid w:val="22E14C32"/>
    <w:rsid w:val="233E5CA8"/>
    <w:rsid w:val="239C64B8"/>
    <w:rsid w:val="249064A5"/>
    <w:rsid w:val="24B97929"/>
    <w:rsid w:val="2520252D"/>
    <w:rsid w:val="26163BC1"/>
    <w:rsid w:val="262221C3"/>
    <w:rsid w:val="275E288B"/>
    <w:rsid w:val="285F34CC"/>
    <w:rsid w:val="285F40CA"/>
    <w:rsid w:val="28C01ECB"/>
    <w:rsid w:val="28D01566"/>
    <w:rsid w:val="28EC3ECC"/>
    <w:rsid w:val="291E0523"/>
    <w:rsid w:val="29957222"/>
    <w:rsid w:val="29BF71E3"/>
    <w:rsid w:val="2A127B63"/>
    <w:rsid w:val="2A9C2048"/>
    <w:rsid w:val="2AAA4765"/>
    <w:rsid w:val="2AC21606"/>
    <w:rsid w:val="2AF63C5E"/>
    <w:rsid w:val="2B7E7608"/>
    <w:rsid w:val="2B7F04E9"/>
    <w:rsid w:val="2C305555"/>
    <w:rsid w:val="2C9A21B9"/>
    <w:rsid w:val="2CE20523"/>
    <w:rsid w:val="2D311338"/>
    <w:rsid w:val="2D496D68"/>
    <w:rsid w:val="2E4C1C02"/>
    <w:rsid w:val="2E6672CB"/>
    <w:rsid w:val="2E7A48DE"/>
    <w:rsid w:val="2EDC3ED8"/>
    <w:rsid w:val="2F2D046C"/>
    <w:rsid w:val="2F6351B4"/>
    <w:rsid w:val="2FBE0CC9"/>
    <w:rsid w:val="2FCF199E"/>
    <w:rsid w:val="302F5007"/>
    <w:rsid w:val="30483E83"/>
    <w:rsid w:val="30AA0E97"/>
    <w:rsid w:val="31D125D7"/>
    <w:rsid w:val="32AC2EBB"/>
    <w:rsid w:val="334E4CD8"/>
    <w:rsid w:val="343C0775"/>
    <w:rsid w:val="34AA76A9"/>
    <w:rsid w:val="352F2EAF"/>
    <w:rsid w:val="356C50EC"/>
    <w:rsid w:val="35FD5825"/>
    <w:rsid w:val="361108CD"/>
    <w:rsid w:val="361D70C4"/>
    <w:rsid w:val="3700166C"/>
    <w:rsid w:val="3727617F"/>
    <w:rsid w:val="375969FE"/>
    <w:rsid w:val="38694EE9"/>
    <w:rsid w:val="393C6E91"/>
    <w:rsid w:val="39431675"/>
    <w:rsid w:val="395112F8"/>
    <w:rsid w:val="39A16D33"/>
    <w:rsid w:val="3A6164C2"/>
    <w:rsid w:val="3B2E7EDB"/>
    <w:rsid w:val="3B365CC9"/>
    <w:rsid w:val="3B9A7B88"/>
    <w:rsid w:val="3BC114FF"/>
    <w:rsid w:val="3C2660C6"/>
    <w:rsid w:val="3D0B03E3"/>
    <w:rsid w:val="3D2C7AC8"/>
    <w:rsid w:val="3D855D12"/>
    <w:rsid w:val="3D8B42FF"/>
    <w:rsid w:val="3D8C02DD"/>
    <w:rsid w:val="3DC20089"/>
    <w:rsid w:val="3DF36A6E"/>
    <w:rsid w:val="3E614CE2"/>
    <w:rsid w:val="3E994348"/>
    <w:rsid w:val="3F1138E1"/>
    <w:rsid w:val="3F1E2BD3"/>
    <w:rsid w:val="3F792F1E"/>
    <w:rsid w:val="40824826"/>
    <w:rsid w:val="40E63923"/>
    <w:rsid w:val="4140333C"/>
    <w:rsid w:val="42B443F4"/>
    <w:rsid w:val="42F43FD4"/>
    <w:rsid w:val="43A91E5B"/>
    <w:rsid w:val="44BC3308"/>
    <w:rsid w:val="45BA48DB"/>
    <w:rsid w:val="463A3650"/>
    <w:rsid w:val="469F0116"/>
    <w:rsid w:val="475259B7"/>
    <w:rsid w:val="48831CF9"/>
    <w:rsid w:val="48A47E22"/>
    <w:rsid w:val="496E6505"/>
    <w:rsid w:val="49A165B8"/>
    <w:rsid w:val="49B1408D"/>
    <w:rsid w:val="4A3E1E7D"/>
    <w:rsid w:val="4A7D4FD2"/>
    <w:rsid w:val="4A913C9A"/>
    <w:rsid w:val="4AE22D2F"/>
    <w:rsid w:val="4B1F70AC"/>
    <w:rsid w:val="4B240F94"/>
    <w:rsid w:val="4B386AE5"/>
    <w:rsid w:val="4BA75287"/>
    <w:rsid w:val="4BED70D6"/>
    <w:rsid w:val="4BF22849"/>
    <w:rsid w:val="4C3C565C"/>
    <w:rsid w:val="4CCC79C7"/>
    <w:rsid w:val="4D7555C7"/>
    <w:rsid w:val="4E656055"/>
    <w:rsid w:val="4E880069"/>
    <w:rsid w:val="4EAE6DA0"/>
    <w:rsid w:val="4EBB21ED"/>
    <w:rsid w:val="4F082F58"/>
    <w:rsid w:val="4FC57CA3"/>
    <w:rsid w:val="4FD037EF"/>
    <w:rsid w:val="5016514B"/>
    <w:rsid w:val="502857C7"/>
    <w:rsid w:val="50476D3D"/>
    <w:rsid w:val="5075461D"/>
    <w:rsid w:val="50F72CFD"/>
    <w:rsid w:val="51CB1C78"/>
    <w:rsid w:val="51FD6A51"/>
    <w:rsid w:val="526B680A"/>
    <w:rsid w:val="52C90BE7"/>
    <w:rsid w:val="53150D15"/>
    <w:rsid w:val="5352083E"/>
    <w:rsid w:val="541A5D30"/>
    <w:rsid w:val="54B27BEE"/>
    <w:rsid w:val="54F24195"/>
    <w:rsid w:val="553E632F"/>
    <w:rsid w:val="555920AA"/>
    <w:rsid w:val="5583158B"/>
    <w:rsid w:val="55F068CD"/>
    <w:rsid w:val="566C3136"/>
    <w:rsid w:val="56876E58"/>
    <w:rsid w:val="568D04F2"/>
    <w:rsid w:val="588D6DD7"/>
    <w:rsid w:val="593224D7"/>
    <w:rsid w:val="5A526582"/>
    <w:rsid w:val="5A5F5C77"/>
    <w:rsid w:val="5A933291"/>
    <w:rsid w:val="5B04316E"/>
    <w:rsid w:val="5BBE39CD"/>
    <w:rsid w:val="5BC11A60"/>
    <w:rsid w:val="5C7A4D54"/>
    <w:rsid w:val="5CD23B73"/>
    <w:rsid w:val="5CEC59A7"/>
    <w:rsid w:val="5D492DD4"/>
    <w:rsid w:val="5DE51CF8"/>
    <w:rsid w:val="5E2402F0"/>
    <w:rsid w:val="5E8A398A"/>
    <w:rsid w:val="5F127819"/>
    <w:rsid w:val="5F63752A"/>
    <w:rsid w:val="60F1503F"/>
    <w:rsid w:val="61025188"/>
    <w:rsid w:val="61057D5F"/>
    <w:rsid w:val="611212CE"/>
    <w:rsid w:val="614D4977"/>
    <w:rsid w:val="62B9795C"/>
    <w:rsid w:val="63537728"/>
    <w:rsid w:val="63C60FC0"/>
    <w:rsid w:val="64BA3D7A"/>
    <w:rsid w:val="64DF4A2F"/>
    <w:rsid w:val="64F179BC"/>
    <w:rsid w:val="65C94C55"/>
    <w:rsid w:val="665704D3"/>
    <w:rsid w:val="66C7658D"/>
    <w:rsid w:val="673148E2"/>
    <w:rsid w:val="675445CD"/>
    <w:rsid w:val="676C7C94"/>
    <w:rsid w:val="67C065A4"/>
    <w:rsid w:val="67D359C9"/>
    <w:rsid w:val="68FE36DD"/>
    <w:rsid w:val="691E18AB"/>
    <w:rsid w:val="694E60FC"/>
    <w:rsid w:val="69EF4042"/>
    <w:rsid w:val="6BDB096A"/>
    <w:rsid w:val="6C410A63"/>
    <w:rsid w:val="6C675CE6"/>
    <w:rsid w:val="6CD7356C"/>
    <w:rsid w:val="6CEF35AF"/>
    <w:rsid w:val="6CF655B4"/>
    <w:rsid w:val="6D4F4321"/>
    <w:rsid w:val="6DFF7360"/>
    <w:rsid w:val="6E7A5F73"/>
    <w:rsid w:val="6F2E3798"/>
    <w:rsid w:val="6FCD1928"/>
    <w:rsid w:val="6FD74228"/>
    <w:rsid w:val="70FE5EDF"/>
    <w:rsid w:val="71633091"/>
    <w:rsid w:val="73081CA5"/>
    <w:rsid w:val="73483525"/>
    <w:rsid w:val="735417BE"/>
    <w:rsid w:val="73CB203A"/>
    <w:rsid w:val="73FD536E"/>
    <w:rsid w:val="74545B7C"/>
    <w:rsid w:val="7487762D"/>
    <w:rsid w:val="75385498"/>
    <w:rsid w:val="769962BD"/>
    <w:rsid w:val="76BC207F"/>
    <w:rsid w:val="76EB4904"/>
    <w:rsid w:val="777378F5"/>
    <w:rsid w:val="777A2D3C"/>
    <w:rsid w:val="778D2D32"/>
    <w:rsid w:val="77E37F3B"/>
    <w:rsid w:val="78537BEA"/>
    <w:rsid w:val="78E07E8A"/>
    <w:rsid w:val="79074B81"/>
    <w:rsid w:val="7923254F"/>
    <w:rsid w:val="794B2E20"/>
    <w:rsid w:val="794F0939"/>
    <w:rsid w:val="79AF0FCA"/>
    <w:rsid w:val="79EF2560"/>
    <w:rsid w:val="7AF9279C"/>
    <w:rsid w:val="7B5F7E9E"/>
    <w:rsid w:val="7CC51958"/>
    <w:rsid w:val="7CEC40B6"/>
    <w:rsid w:val="7D6D1C5D"/>
    <w:rsid w:val="7E2936C3"/>
    <w:rsid w:val="7E2E365C"/>
    <w:rsid w:val="7E6411B9"/>
    <w:rsid w:val="7F48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200" w:leftChars="200"/>
    </w:pPr>
  </w:style>
  <w:style w:type="paragraph" w:styleId="10">
    <w:name w:val="envelope return"/>
    <w:basedOn w:val="1"/>
    <w:next w:val="1"/>
    <w:qFormat/>
    <w:uiPriority w:val="0"/>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7"/>
    <w:autoRedefine/>
    <w:qFormat/>
    <w:uiPriority w:val="99"/>
    <w:rPr>
      <w:rFonts w:ascii="宋体" w:hAnsi="Courier New" w:eastAsiaTheme="minorEastAsia" w:cstheme="minorBidi"/>
      <w:szCs w:val="22"/>
    </w:rPr>
  </w:style>
  <w:style w:type="paragraph" w:styleId="13">
    <w:name w:val="Date"/>
    <w:basedOn w:val="1"/>
    <w:next w:val="1"/>
    <w:link w:val="44"/>
    <w:autoRedefine/>
    <w:qFormat/>
    <w:uiPriority w:val="0"/>
    <w:rPr>
      <w:rFonts w:ascii="Arial" w:hAnsi="Arial" w:eastAsia="宋体" w:cs="Arial"/>
      <w:b/>
      <w:sz w:val="28"/>
    </w:rPr>
  </w:style>
  <w:style w:type="paragraph" w:styleId="14">
    <w:name w:val="Balloon Text"/>
    <w:basedOn w:val="1"/>
    <w:link w:val="31"/>
    <w:autoRedefine/>
    <w:semiHidden/>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8"/>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paragraph" w:styleId="23">
    <w:name w:val="Body Text First Indent 2"/>
    <w:basedOn w:val="9"/>
    <w:next w:val="1"/>
    <w:qFormat/>
    <w:uiPriority w:val="0"/>
    <w:pPr>
      <w:spacing w:line="360" w:lineRule="auto"/>
      <w:ind w:firstLine="200" w:firstLineChars="200"/>
    </w:pPr>
    <w:rPr>
      <w:rFonts w:ascii="宋体"/>
      <w:szCs w:val="20"/>
    </w:r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Emphasis"/>
    <w:basedOn w:val="26"/>
    <w:qFormat/>
    <w:uiPriority w:val="0"/>
    <w:rPr>
      <w:i/>
    </w:rPr>
  </w:style>
  <w:style w:type="character" w:styleId="29">
    <w:name w:val="Hyperlink"/>
    <w:basedOn w:val="26"/>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6"/>
    <w:autoRedefine/>
    <w:semiHidden/>
    <w:unhideWhenUsed/>
    <w:qFormat/>
    <w:uiPriority w:val="99"/>
    <w:rPr>
      <w:sz w:val="21"/>
      <w:szCs w:val="21"/>
    </w:rPr>
  </w:style>
  <w:style w:type="character" w:customStyle="1" w:styleId="31">
    <w:name w:val="批注框文本 Char"/>
    <w:basedOn w:val="26"/>
    <w:link w:val="14"/>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6"/>
    <w:link w:val="16"/>
    <w:autoRedefine/>
    <w:qFormat/>
    <w:uiPriority w:val="99"/>
    <w:rPr>
      <w:rFonts w:ascii="@仿宋_GB2312" w:hAnsi="@仿宋_GB2312" w:eastAsia="@仿宋_GB2312" w:cs="@仿宋_GB2312"/>
      <w:sz w:val="18"/>
      <w:szCs w:val="18"/>
    </w:rPr>
  </w:style>
  <w:style w:type="character" w:customStyle="1" w:styleId="36">
    <w:name w:val="页脚 Char"/>
    <w:basedOn w:val="26"/>
    <w:link w:val="15"/>
    <w:autoRedefine/>
    <w:qFormat/>
    <w:uiPriority w:val="99"/>
    <w:rPr>
      <w:rFonts w:ascii="@仿宋_GB2312" w:hAnsi="@仿宋_GB2312" w:eastAsia="@仿宋_GB2312" w:cs="@仿宋_GB2312"/>
      <w:sz w:val="18"/>
      <w:szCs w:val="18"/>
    </w:rPr>
  </w:style>
  <w:style w:type="character" w:customStyle="1" w:styleId="37">
    <w:name w:val="纯文本 Char"/>
    <w:link w:val="12"/>
    <w:autoRedefine/>
    <w:qFormat/>
    <w:uiPriority w:val="0"/>
    <w:rPr>
      <w:rFonts w:ascii="宋体" w:hAnsi="Courier New"/>
    </w:rPr>
  </w:style>
  <w:style w:type="character" w:customStyle="1" w:styleId="38">
    <w:name w:val="纯文本 字符1"/>
    <w:basedOn w:val="26"/>
    <w:autoRedefine/>
    <w:semiHidden/>
    <w:qFormat/>
    <w:uiPriority w:val="99"/>
    <w:rPr>
      <w:rFonts w:hAnsi="Courier New" w:cs="Courier New" w:asciiTheme="minorEastAsia"/>
      <w:szCs w:val="20"/>
    </w:rPr>
  </w:style>
  <w:style w:type="character" w:customStyle="1" w:styleId="39">
    <w:name w:val="未处理的提及1"/>
    <w:basedOn w:val="26"/>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autoRedefine/>
    <w:semiHidden/>
    <w:qFormat/>
    <w:uiPriority w:val="99"/>
    <w:rPr>
      <w:rFonts w:ascii="@仿宋_GB2312" w:hAnsi="@仿宋_GB2312" w:eastAsia="@仿宋_GB2312" w:cs="@仿宋_GB2312"/>
      <w:szCs w:val="20"/>
    </w:rPr>
  </w:style>
  <w:style w:type="character" w:customStyle="1" w:styleId="44">
    <w:name w:val="日期 Char"/>
    <w:link w:val="13"/>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6"/>
    <w:autoRedefine/>
    <w:semiHidden/>
    <w:qFormat/>
    <w:uiPriority w:val="99"/>
    <w:rPr>
      <w:rFonts w:ascii="@仿宋_GB2312" w:hAnsi="@仿宋_GB2312" w:eastAsia="@仿宋_GB2312" w:cs="@仿宋_GB2312"/>
      <w:szCs w:val="20"/>
    </w:rPr>
  </w:style>
  <w:style w:type="character" w:customStyle="1" w:styleId="47">
    <w:name w:val="批注文字 Char1"/>
    <w:link w:val="7"/>
    <w:autoRedefine/>
    <w:qFormat/>
    <w:uiPriority w:val="0"/>
    <w:rPr>
      <w:rFonts w:ascii="Arial" w:hAnsi="Arial" w:eastAsia="黑体" w:cs="Arial"/>
      <w:szCs w:val="20"/>
    </w:rPr>
  </w:style>
  <w:style w:type="character" w:customStyle="1" w:styleId="48">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6"/>
    <w:link w:val="5"/>
    <w:autoRedefine/>
    <w:semiHidden/>
    <w:qFormat/>
    <w:uiPriority w:val="9"/>
    <w:rPr>
      <w:rFonts w:ascii="@仿宋_GB2312" w:hAnsi="@仿宋_GB2312" w:eastAsia="@仿宋_GB2312" w:cs="@仿宋_GB2312"/>
      <w:b/>
      <w:bCs/>
      <w:sz w:val="32"/>
      <w:szCs w:val="32"/>
    </w:rPr>
  </w:style>
  <w:style w:type="character" w:customStyle="1" w:styleId="51">
    <w:name w:val="fontstyle01"/>
    <w:basedOn w:val="26"/>
    <w:autoRedefine/>
    <w:qFormat/>
    <w:uiPriority w:val="0"/>
    <w:rPr>
      <w:rFonts w:hint="eastAsia" w:ascii="宋体" w:hAnsi="宋体" w:eastAsia="宋体"/>
      <w:color w:val="000000"/>
      <w:sz w:val="22"/>
      <w:szCs w:val="22"/>
    </w:rPr>
  </w:style>
  <w:style w:type="character" w:customStyle="1" w:styleId="52">
    <w:name w:val="fontstyle21"/>
    <w:basedOn w:val="26"/>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6"/>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1"/>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2">
    <w:name w:val="Table Paragraph"/>
    <w:basedOn w:val="1"/>
    <w:qFormat/>
    <w:uiPriority w:val="0"/>
    <w:rPr>
      <w:rFonts w:ascii="Noto Sans CJK JP Regular" w:hAnsi="Noto Sans CJK JP Regular" w:eastAsia="Noto Sans CJK JP Regular" w:cs="Noto Sans CJK JP Regul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52</Pages>
  <Words>1577</Words>
  <Characters>1716</Characters>
  <Lines>1</Lines>
  <Paragraphs>1</Paragraphs>
  <TotalTime>0</TotalTime>
  <ScaleCrop>false</ScaleCrop>
  <LinksUpToDate>false</LinksUpToDate>
  <CharactersWithSpaces>1800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2026-05-15T01:46:00Z</cp:lastPrinted>
  <dcterms:modified xsi:type="dcterms:W3CDTF">2026-05-26T00:32:58Z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