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46F3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bookmarkStart w:id="0" w:name="_Hlk9544796"/>
    </w:p>
    <w:p w14:paraId="4F944F8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r>
        <w:rPr>
          <w:rFonts w:hint="eastAsia" w:ascii="宋体" w:hAnsi="宋体" w:eastAsia="宋体"/>
          <w:b/>
          <w:bCs/>
          <w:color w:val="auto"/>
          <w:sz w:val="52"/>
          <w:szCs w:val="52"/>
          <w:highlight w:val="none"/>
          <w:lang w:val="en-US" w:eastAsia="zh-CN"/>
        </w:rPr>
        <w:t xml:space="preserve">  </w:t>
      </w: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6358F61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66E665E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FDFADE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331E403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A936A8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7469CAD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6AA794D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1997EDE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748F8A1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4DE444A2">
      <w:pPr>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single"/>
          <w:lang w:eastAsia="zh-CN" w:bidi="ar"/>
        </w:rPr>
      </w:pPr>
      <w:r>
        <w:rPr>
          <w:rFonts w:hint="eastAsia" w:ascii="宋体" w:hAnsi="宋体" w:eastAsia="宋体" w:cs="宋体"/>
          <w:b/>
          <w:color w:val="auto"/>
          <w:spacing w:val="20"/>
          <w:kern w:val="0"/>
          <w:sz w:val="32"/>
          <w:szCs w:val="32"/>
          <w:highlight w:val="none"/>
          <w:lang w:bidi="ar"/>
        </w:rPr>
        <w:t>项目名称：</w:t>
      </w:r>
      <w:r>
        <w:rPr>
          <w:rFonts w:hint="eastAsia" w:ascii="宋体" w:hAnsi="宋体" w:eastAsia="宋体" w:cs="宋体"/>
          <w:b/>
          <w:color w:val="auto"/>
          <w:spacing w:val="20"/>
          <w:kern w:val="0"/>
          <w:sz w:val="32"/>
          <w:szCs w:val="32"/>
          <w:highlight w:val="none"/>
          <w:u w:val="single"/>
          <w:lang w:eastAsia="zh-CN" w:bidi="ar"/>
        </w:rPr>
        <w:t>滁州市第一人民医院临床思维训练系统项目（三次）</w:t>
      </w:r>
    </w:p>
    <w:p w14:paraId="78C20378">
      <w:pPr>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cs="宋体"/>
          <w:b/>
          <w:color w:val="auto"/>
          <w:spacing w:val="20"/>
          <w:kern w:val="0"/>
          <w:sz w:val="32"/>
          <w:szCs w:val="32"/>
          <w:highlight w:val="none"/>
          <w:lang w:bidi="ar"/>
        </w:rPr>
        <w:t>项目编号：</w:t>
      </w:r>
      <w:r>
        <w:rPr>
          <w:rFonts w:hint="eastAsia" w:ascii="宋体" w:hAnsi="宋体" w:eastAsia="宋体"/>
          <w:b/>
          <w:color w:val="auto"/>
          <w:spacing w:val="20"/>
          <w:kern w:val="0"/>
          <w:sz w:val="32"/>
          <w:szCs w:val="32"/>
          <w:highlight w:val="none"/>
          <w:u w:val="single"/>
          <w:lang w:eastAsia="zh-CN" w:bidi="ar"/>
        </w:rPr>
        <w:t>CZYY-2026-30</w:t>
      </w:r>
    </w:p>
    <w:p w14:paraId="460C01F0">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采购人：</w:t>
      </w:r>
      <w:r>
        <w:rPr>
          <w:rFonts w:hint="eastAsia" w:ascii="宋体" w:hAnsi="宋体" w:eastAsia="宋体" w:cs="宋体"/>
          <w:b/>
          <w:color w:val="auto"/>
          <w:spacing w:val="20"/>
          <w:kern w:val="0"/>
          <w:sz w:val="32"/>
          <w:szCs w:val="32"/>
          <w:highlight w:val="none"/>
          <w:u w:val="single"/>
          <w:lang w:bidi="ar"/>
        </w:rPr>
        <w:t>滁州市第一人民医院</w:t>
      </w:r>
    </w:p>
    <w:p w14:paraId="55B32B07">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采购代理机构：</w:t>
      </w:r>
      <w:r>
        <w:rPr>
          <w:rFonts w:hint="eastAsia" w:ascii="宋体" w:hAnsi="宋体" w:eastAsia="宋体" w:cs="宋体"/>
          <w:b/>
          <w:color w:val="auto"/>
          <w:spacing w:val="20"/>
          <w:kern w:val="0"/>
          <w:sz w:val="32"/>
          <w:szCs w:val="32"/>
          <w:highlight w:val="none"/>
          <w:u w:val="single"/>
          <w:lang w:bidi="ar"/>
        </w:rPr>
        <w:t>安徽百士德工程咨询有限公司</w:t>
      </w:r>
    </w:p>
    <w:p w14:paraId="55869963">
      <w:pPr>
        <w:spacing w:before="312" w:beforeLines="100" w:after="156" w:afterLines="50" w:line="500" w:lineRule="exact"/>
        <w:ind w:right="267" w:rightChars="127"/>
        <w:jc w:val="center"/>
        <w:rPr>
          <w:rFonts w:hint="eastAsia"/>
          <w:color w:val="auto"/>
          <w:highlight w:val="none"/>
        </w:rPr>
      </w:pPr>
      <w:r>
        <w:rPr>
          <w:rFonts w:hint="eastAsia" w:ascii="宋体" w:hAnsi="宋体" w:eastAsia="宋体" w:cs="宋体"/>
          <w:b/>
          <w:color w:val="auto"/>
          <w:sz w:val="36"/>
          <w:szCs w:val="36"/>
          <w:highlight w:val="none"/>
          <w:u w:val="single"/>
          <w:lang w:bidi="ar"/>
        </w:rPr>
        <w:t>202</w:t>
      </w:r>
      <w:r>
        <w:rPr>
          <w:rFonts w:hint="eastAsia" w:ascii="宋体" w:hAnsi="宋体" w:eastAsia="宋体" w:cs="宋体"/>
          <w:b/>
          <w:color w:val="auto"/>
          <w:sz w:val="36"/>
          <w:szCs w:val="36"/>
          <w:highlight w:val="none"/>
          <w:u w:val="single"/>
          <w:lang w:val="en-US" w:eastAsia="zh-CN" w:bidi="ar"/>
        </w:rPr>
        <w:t>6</w:t>
      </w:r>
      <w:r>
        <w:rPr>
          <w:rFonts w:hint="eastAsia" w:ascii="宋体" w:hAnsi="宋体" w:eastAsia="宋体" w:cs="宋体"/>
          <w:b/>
          <w:color w:val="auto"/>
          <w:sz w:val="36"/>
          <w:szCs w:val="36"/>
          <w:highlight w:val="none"/>
          <w:lang w:bidi="ar"/>
        </w:rPr>
        <w:t>年</w:t>
      </w:r>
      <w:r>
        <w:rPr>
          <w:rFonts w:hint="eastAsia" w:ascii="宋体" w:hAnsi="宋体" w:eastAsia="宋体" w:cs="宋体"/>
          <w:b/>
          <w:color w:val="auto"/>
          <w:sz w:val="36"/>
          <w:szCs w:val="36"/>
          <w:highlight w:val="none"/>
          <w:u w:val="single"/>
          <w:lang w:val="en-US" w:eastAsia="zh-CN" w:bidi="ar"/>
        </w:rPr>
        <w:t>8</w:t>
      </w:r>
      <w:r>
        <w:rPr>
          <w:rFonts w:hint="eastAsia" w:ascii="宋体" w:hAnsi="宋体" w:eastAsia="宋体" w:cs="宋体"/>
          <w:b/>
          <w:color w:val="auto"/>
          <w:sz w:val="36"/>
          <w:szCs w:val="36"/>
          <w:highlight w:val="none"/>
          <w:lang w:bidi="ar"/>
        </w:rPr>
        <w:t>月</w:t>
      </w:r>
    </w:p>
    <w:p w14:paraId="27B74FBF">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1C6C159A">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3E7B11A0">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28"/>
          <w:highlight w:val="none"/>
        </w:rPr>
        <w:t>目  录</w:t>
      </w:r>
    </w:p>
    <w:p w14:paraId="64762346">
      <w:pPr>
        <w:pStyle w:val="18"/>
        <w:tabs>
          <w:tab w:val="right" w:leader="dot" w:pos="8306"/>
        </w:tabs>
        <w:rPr>
          <w:color w:val="auto"/>
          <w:sz w:val="28"/>
          <w:szCs w:val="28"/>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 w:val="28"/>
          <w:szCs w:val="28"/>
          <w:highlight w:val="none"/>
        </w:rPr>
        <w:fldChar w:fldCharType="begin"/>
      </w:r>
      <w:r>
        <w:rPr>
          <w:rFonts w:asciiTheme="minorEastAsia" w:hAnsiTheme="minorEastAsia"/>
          <w:color w:val="auto"/>
          <w:sz w:val="28"/>
          <w:szCs w:val="28"/>
          <w:highlight w:val="none"/>
        </w:rPr>
        <w:instrText xml:space="preserve"> HYPERLINK \l _Toc13815 </w:instrText>
      </w:r>
      <w:r>
        <w:rPr>
          <w:rFonts w:asciiTheme="minorEastAsia" w:hAnsiTheme="minorEastAsia"/>
          <w:color w:val="auto"/>
          <w:sz w:val="28"/>
          <w:szCs w:val="28"/>
          <w:highlight w:val="none"/>
        </w:rPr>
        <w:fldChar w:fldCharType="separate"/>
      </w:r>
      <w:r>
        <w:rPr>
          <w:rFonts w:hint="eastAsia" w:asciiTheme="minorEastAsia" w:hAnsiTheme="minorEastAsia" w:eastAsiaTheme="minorEastAsia"/>
          <w:color w:val="auto"/>
          <w:sz w:val="28"/>
          <w:szCs w:val="28"/>
          <w:highlight w:val="none"/>
        </w:rPr>
        <w:t xml:space="preserve">第一章 </w:t>
      </w:r>
      <w:r>
        <w:rPr>
          <w:rFonts w:asciiTheme="minorEastAsia" w:hAnsiTheme="minorEastAsia" w:eastAsiaTheme="minorEastAsia"/>
          <w:color w:val="auto"/>
          <w:sz w:val="28"/>
          <w:szCs w:val="28"/>
          <w:highlight w:val="none"/>
        </w:rPr>
        <w:t xml:space="preserve"> 投标邀请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_Toc13815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Theme="minorEastAsia" w:hAnsiTheme="minorEastAsia"/>
          <w:color w:val="auto"/>
          <w:sz w:val="28"/>
          <w:szCs w:val="28"/>
          <w:highlight w:val="none"/>
        </w:rPr>
        <w:fldChar w:fldCharType="end"/>
      </w:r>
    </w:p>
    <w:p w14:paraId="2A9B03A9">
      <w:pPr>
        <w:pStyle w:val="18"/>
        <w:tabs>
          <w:tab w:val="right" w:leader="dot" w:pos="8306"/>
        </w:tabs>
        <w:rPr>
          <w:color w:val="auto"/>
          <w:sz w:val="28"/>
          <w:szCs w:val="28"/>
          <w:highlight w:val="none"/>
        </w:rPr>
      </w:pPr>
      <w:r>
        <w:rPr>
          <w:rFonts w:asciiTheme="minorEastAsia" w:hAnsiTheme="minorEastAsia" w:eastAsiaTheme="minorEastAsia"/>
          <w:color w:val="auto"/>
          <w:sz w:val="28"/>
          <w:szCs w:val="28"/>
          <w:highlight w:val="none"/>
        </w:rPr>
        <w:fldChar w:fldCharType="begin"/>
      </w:r>
      <w:r>
        <w:rPr>
          <w:rFonts w:asciiTheme="minorEastAsia" w:hAnsiTheme="minorEastAsia" w:eastAsiaTheme="minorEastAsia"/>
          <w:color w:val="auto"/>
          <w:sz w:val="28"/>
          <w:szCs w:val="28"/>
          <w:highlight w:val="none"/>
        </w:rPr>
        <w:instrText xml:space="preserve"> HYPERLINK \l _Toc21266 </w:instrText>
      </w:r>
      <w:r>
        <w:rPr>
          <w:rFonts w:asciiTheme="minorEastAsia" w:hAnsiTheme="minorEastAsia" w:eastAsiaTheme="minorEastAsia"/>
          <w:color w:val="auto"/>
          <w:sz w:val="28"/>
          <w:szCs w:val="28"/>
          <w:highlight w:val="none"/>
        </w:rPr>
        <w:fldChar w:fldCharType="separate"/>
      </w:r>
      <w:r>
        <w:rPr>
          <w:rFonts w:hint="eastAsia" w:asciiTheme="minorEastAsia" w:hAnsiTheme="minorEastAsia" w:eastAsiaTheme="minorEastAsia"/>
          <w:color w:val="auto"/>
          <w:sz w:val="28"/>
          <w:szCs w:val="28"/>
          <w:highlight w:val="none"/>
        </w:rPr>
        <w:t>第二章</w:t>
      </w:r>
      <w:r>
        <w:rPr>
          <w:rFonts w:asciiTheme="minorEastAsia" w:hAnsiTheme="minorEastAsia" w:eastAsiaTheme="minorEastAsia"/>
          <w:color w:val="auto"/>
          <w:sz w:val="28"/>
          <w:szCs w:val="28"/>
          <w:highlight w:val="none"/>
        </w:rPr>
        <w:t xml:space="preserve"> </w:t>
      </w:r>
      <w:r>
        <w:rPr>
          <w:rFonts w:hint="eastAsia" w:asciiTheme="minorEastAsia" w:hAnsiTheme="minorEastAsia" w:eastAsiaTheme="minorEastAsia"/>
          <w:color w:val="auto"/>
          <w:sz w:val="28"/>
          <w:szCs w:val="28"/>
          <w:highlight w:val="none"/>
        </w:rPr>
        <w:t xml:space="preserve"> </w:t>
      </w:r>
      <w:r>
        <w:rPr>
          <w:rFonts w:asciiTheme="minorEastAsia" w:hAnsiTheme="minorEastAsia" w:eastAsiaTheme="minorEastAsia"/>
          <w:color w:val="auto"/>
          <w:sz w:val="28"/>
          <w:szCs w:val="28"/>
          <w:highlight w:val="none"/>
        </w:rPr>
        <w:t>投标人须知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_Toc21266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rFonts w:asciiTheme="minorEastAsia" w:hAnsiTheme="minorEastAsia" w:eastAsiaTheme="minorEastAsia"/>
          <w:color w:val="auto"/>
          <w:sz w:val="28"/>
          <w:szCs w:val="28"/>
          <w:highlight w:val="none"/>
        </w:rPr>
        <w:fldChar w:fldCharType="end"/>
      </w:r>
    </w:p>
    <w:p w14:paraId="632E7730">
      <w:pPr>
        <w:pStyle w:val="18"/>
        <w:tabs>
          <w:tab w:val="right" w:leader="dot" w:pos="8306"/>
        </w:tabs>
        <w:rPr>
          <w:color w:val="auto"/>
          <w:sz w:val="28"/>
          <w:szCs w:val="28"/>
          <w:highlight w:val="none"/>
        </w:rPr>
      </w:pPr>
      <w:r>
        <w:rPr>
          <w:rFonts w:asciiTheme="minorEastAsia" w:hAnsiTheme="minorEastAsia" w:eastAsiaTheme="minorEastAsia"/>
          <w:color w:val="auto"/>
          <w:sz w:val="28"/>
          <w:szCs w:val="28"/>
          <w:highlight w:val="none"/>
        </w:rPr>
        <w:fldChar w:fldCharType="begin"/>
      </w:r>
      <w:r>
        <w:rPr>
          <w:rFonts w:asciiTheme="minorEastAsia" w:hAnsiTheme="minorEastAsia" w:eastAsiaTheme="minorEastAsia"/>
          <w:color w:val="auto"/>
          <w:sz w:val="28"/>
          <w:szCs w:val="28"/>
          <w:highlight w:val="none"/>
        </w:rPr>
        <w:instrText xml:space="preserve"> HYPERLINK \l _Toc31214 </w:instrText>
      </w:r>
      <w:r>
        <w:rPr>
          <w:rFonts w:asciiTheme="minorEastAsia" w:hAnsiTheme="minorEastAsia" w:eastAsiaTheme="minorEastAsia"/>
          <w:color w:val="auto"/>
          <w:sz w:val="28"/>
          <w:szCs w:val="28"/>
          <w:highlight w:val="none"/>
        </w:rPr>
        <w:fldChar w:fldCharType="separate"/>
      </w:r>
      <w:r>
        <w:rPr>
          <w:rFonts w:hint="eastAsia" w:asciiTheme="minorEastAsia" w:hAnsiTheme="minorEastAsia" w:eastAsiaTheme="minorEastAsia"/>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_Toc31214 \h </w:instrText>
      </w:r>
      <w:r>
        <w:rPr>
          <w:color w:val="auto"/>
          <w:sz w:val="28"/>
          <w:szCs w:val="28"/>
          <w:highlight w:val="none"/>
        </w:rPr>
        <w:fldChar w:fldCharType="separate"/>
      </w:r>
      <w:r>
        <w:rPr>
          <w:color w:val="auto"/>
          <w:sz w:val="28"/>
          <w:szCs w:val="28"/>
          <w:highlight w:val="none"/>
        </w:rPr>
        <w:t>17</w:t>
      </w:r>
      <w:r>
        <w:rPr>
          <w:color w:val="auto"/>
          <w:sz w:val="28"/>
          <w:szCs w:val="28"/>
          <w:highlight w:val="none"/>
        </w:rPr>
        <w:fldChar w:fldCharType="end"/>
      </w:r>
      <w:r>
        <w:rPr>
          <w:rFonts w:asciiTheme="minorEastAsia" w:hAnsiTheme="minorEastAsia" w:eastAsiaTheme="minorEastAsia"/>
          <w:color w:val="auto"/>
          <w:sz w:val="28"/>
          <w:szCs w:val="28"/>
          <w:highlight w:val="none"/>
        </w:rPr>
        <w:fldChar w:fldCharType="end"/>
      </w:r>
    </w:p>
    <w:p w14:paraId="275BDC1B">
      <w:pPr>
        <w:pStyle w:val="18"/>
        <w:tabs>
          <w:tab w:val="right" w:leader="dot" w:pos="8306"/>
        </w:tabs>
        <w:rPr>
          <w:color w:val="auto"/>
          <w:sz w:val="28"/>
          <w:szCs w:val="28"/>
          <w:highlight w:val="none"/>
        </w:rPr>
      </w:pPr>
      <w:r>
        <w:rPr>
          <w:rFonts w:asciiTheme="minorEastAsia" w:hAnsiTheme="minorEastAsia" w:eastAsiaTheme="minorEastAsia"/>
          <w:color w:val="auto"/>
          <w:sz w:val="28"/>
          <w:szCs w:val="28"/>
          <w:highlight w:val="none"/>
        </w:rPr>
        <w:fldChar w:fldCharType="begin"/>
      </w:r>
      <w:r>
        <w:rPr>
          <w:rFonts w:asciiTheme="minorEastAsia" w:hAnsiTheme="minorEastAsia" w:eastAsiaTheme="minorEastAsia"/>
          <w:color w:val="auto"/>
          <w:sz w:val="28"/>
          <w:szCs w:val="28"/>
          <w:highlight w:val="none"/>
        </w:rPr>
        <w:instrText xml:space="preserve"> HYPERLINK \l _Toc25441 </w:instrText>
      </w:r>
      <w:r>
        <w:rPr>
          <w:rFonts w:asciiTheme="minorEastAsia" w:hAnsiTheme="minorEastAsia" w:eastAsiaTheme="minorEastAsia"/>
          <w:color w:val="auto"/>
          <w:sz w:val="28"/>
          <w:szCs w:val="28"/>
          <w:highlight w:val="none"/>
        </w:rPr>
        <w:fldChar w:fldCharType="separate"/>
      </w:r>
      <w:r>
        <w:rPr>
          <w:rFonts w:hint="eastAsia" w:asciiTheme="minorEastAsia" w:hAnsiTheme="minorEastAsia" w:eastAsiaTheme="minorEastAsia"/>
          <w:color w:val="auto"/>
          <w:sz w:val="28"/>
          <w:szCs w:val="28"/>
          <w:highlight w:val="none"/>
        </w:rPr>
        <w:t>第四章  评标方法和标准（综合评分法）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_Toc25441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Fonts w:asciiTheme="minorEastAsia" w:hAnsiTheme="minorEastAsia" w:eastAsiaTheme="minorEastAsia"/>
          <w:color w:val="auto"/>
          <w:sz w:val="28"/>
          <w:szCs w:val="28"/>
          <w:highlight w:val="none"/>
        </w:rPr>
        <w:fldChar w:fldCharType="end"/>
      </w:r>
    </w:p>
    <w:p w14:paraId="29B7E5D5">
      <w:pPr>
        <w:pStyle w:val="18"/>
        <w:tabs>
          <w:tab w:val="right" w:leader="dot" w:pos="8306"/>
        </w:tabs>
        <w:rPr>
          <w:color w:val="auto"/>
          <w:sz w:val="28"/>
          <w:szCs w:val="28"/>
          <w:highlight w:val="none"/>
        </w:rPr>
      </w:pPr>
      <w:r>
        <w:rPr>
          <w:rFonts w:asciiTheme="minorEastAsia" w:hAnsiTheme="minorEastAsia" w:eastAsiaTheme="minorEastAsia"/>
          <w:color w:val="auto"/>
          <w:sz w:val="28"/>
          <w:szCs w:val="28"/>
          <w:highlight w:val="none"/>
        </w:rPr>
        <w:fldChar w:fldCharType="begin"/>
      </w:r>
      <w:r>
        <w:rPr>
          <w:rFonts w:asciiTheme="minorEastAsia" w:hAnsiTheme="minorEastAsia" w:eastAsiaTheme="minorEastAsia"/>
          <w:color w:val="auto"/>
          <w:sz w:val="28"/>
          <w:szCs w:val="28"/>
          <w:highlight w:val="none"/>
        </w:rPr>
        <w:instrText xml:space="preserve"> HYPERLINK \l _Toc7791 </w:instrText>
      </w:r>
      <w:r>
        <w:rPr>
          <w:rFonts w:asciiTheme="minorEastAsia" w:hAnsiTheme="minorEastAsia" w:eastAsiaTheme="minorEastAsia"/>
          <w:color w:val="auto"/>
          <w:sz w:val="28"/>
          <w:szCs w:val="28"/>
          <w:highlight w:val="none"/>
        </w:rPr>
        <w:fldChar w:fldCharType="separate"/>
      </w:r>
      <w:r>
        <w:rPr>
          <w:rFonts w:hint="eastAsia" w:asciiTheme="minorEastAsia" w:hAnsiTheme="minorEastAsia" w:eastAsiaTheme="minorEastAsia"/>
          <w:color w:val="auto"/>
          <w:sz w:val="28"/>
          <w:szCs w:val="28"/>
          <w:highlight w:val="none"/>
        </w:rPr>
        <w:t xml:space="preserve">第五章  </w:t>
      </w:r>
      <w:r>
        <w:rPr>
          <w:rFonts w:asciiTheme="minorEastAsia" w:hAnsiTheme="minorEastAsia" w:eastAsiaTheme="minorEastAsia"/>
          <w:color w:val="auto"/>
          <w:sz w:val="28"/>
          <w:szCs w:val="28"/>
          <w:highlight w:val="none"/>
        </w:rPr>
        <w:t>政府采购合同</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_Toc7791 \h </w:instrText>
      </w:r>
      <w:r>
        <w:rPr>
          <w:color w:val="auto"/>
          <w:sz w:val="28"/>
          <w:szCs w:val="28"/>
          <w:highlight w:val="none"/>
        </w:rPr>
        <w:fldChar w:fldCharType="separate"/>
      </w:r>
      <w:r>
        <w:rPr>
          <w:color w:val="auto"/>
          <w:sz w:val="28"/>
          <w:szCs w:val="28"/>
          <w:highlight w:val="none"/>
        </w:rPr>
        <w:t>33</w:t>
      </w:r>
      <w:r>
        <w:rPr>
          <w:color w:val="auto"/>
          <w:sz w:val="28"/>
          <w:szCs w:val="28"/>
          <w:highlight w:val="none"/>
        </w:rPr>
        <w:fldChar w:fldCharType="end"/>
      </w:r>
      <w:r>
        <w:rPr>
          <w:rFonts w:asciiTheme="minorEastAsia" w:hAnsiTheme="minorEastAsia" w:eastAsiaTheme="minorEastAsia"/>
          <w:color w:val="auto"/>
          <w:sz w:val="28"/>
          <w:szCs w:val="28"/>
          <w:highlight w:val="none"/>
        </w:rPr>
        <w:fldChar w:fldCharType="end"/>
      </w:r>
    </w:p>
    <w:p w14:paraId="09E5397E">
      <w:pPr>
        <w:pStyle w:val="18"/>
        <w:tabs>
          <w:tab w:val="right" w:leader="dot" w:pos="8306"/>
        </w:tabs>
        <w:rPr>
          <w:color w:val="auto"/>
          <w:sz w:val="28"/>
          <w:szCs w:val="28"/>
          <w:highlight w:val="none"/>
        </w:rPr>
      </w:pPr>
      <w:r>
        <w:rPr>
          <w:rFonts w:asciiTheme="minorEastAsia" w:hAnsiTheme="minorEastAsia" w:eastAsiaTheme="minorEastAsia"/>
          <w:color w:val="auto"/>
          <w:sz w:val="28"/>
          <w:szCs w:val="28"/>
          <w:highlight w:val="none"/>
        </w:rPr>
        <w:fldChar w:fldCharType="begin"/>
      </w:r>
      <w:r>
        <w:rPr>
          <w:rFonts w:asciiTheme="minorEastAsia" w:hAnsiTheme="minorEastAsia" w:eastAsiaTheme="minorEastAsia"/>
          <w:color w:val="auto"/>
          <w:sz w:val="28"/>
          <w:szCs w:val="28"/>
          <w:highlight w:val="none"/>
        </w:rPr>
        <w:instrText xml:space="preserve"> HYPERLINK \l _Toc9493 </w:instrText>
      </w:r>
      <w:r>
        <w:rPr>
          <w:rFonts w:asciiTheme="minorEastAsia" w:hAnsiTheme="minorEastAsia" w:eastAsiaTheme="minorEastAsia"/>
          <w:color w:val="auto"/>
          <w:sz w:val="28"/>
          <w:szCs w:val="28"/>
          <w:highlight w:val="none"/>
        </w:rPr>
        <w:fldChar w:fldCharType="separate"/>
      </w:r>
      <w:r>
        <w:rPr>
          <w:rFonts w:hint="eastAsia" w:asciiTheme="minorEastAsia" w:hAnsiTheme="minorEastAsia" w:eastAsiaTheme="minorEastAsia"/>
          <w:color w:val="auto"/>
          <w:sz w:val="28"/>
          <w:szCs w:val="28"/>
          <w:highlight w:val="none"/>
        </w:rPr>
        <w:t>第六章  投标文件格式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_Toc9493 \h </w:instrText>
      </w:r>
      <w:r>
        <w:rPr>
          <w:color w:val="auto"/>
          <w:sz w:val="28"/>
          <w:szCs w:val="28"/>
          <w:highlight w:val="none"/>
        </w:rPr>
        <w:fldChar w:fldCharType="separate"/>
      </w:r>
      <w:r>
        <w:rPr>
          <w:color w:val="auto"/>
          <w:sz w:val="28"/>
          <w:szCs w:val="28"/>
          <w:highlight w:val="none"/>
        </w:rPr>
        <w:t>49</w:t>
      </w:r>
      <w:r>
        <w:rPr>
          <w:color w:val="auto"/>
          <w:sz w:val="28"/>
          <w:szCs w:val="28"/>
          <w:highlight w:val="none"/>
        </w:rPr>
        <w:fldChar w:fldCharType="end"/>
      </w:r>
      <w:r>
        <w:rPr>
          <w:rFonts w:asciiTheme="minorEastAsia" w:hAnsiTheme="minorEastAsia" w:eastAsiaTheme="minorEastAsia"/>
          <w:color w:val="auto"/>
          <w:sz w:val="28"/>
          <w:szCs w:val="28"/>
          <w:highlight w:val="none"/>
        </w:rPr>
        <w:fldChar w:fldCharType="end"/>
      </w:r>
    </w:p>
    <w:p w14:paraId="3D914984">
      <w:pPr>
        <w:pStyle w:val="18"/>
        <w:tabs>
          <w:tab w:val="right" w:leader="dot" w:pos="8306"/>
        </w:tabs>
        <w:rPr>
          <w:color w:val="auto"/>
          <w:sz w:val="28"/>
          <w:szCs w:val="28"/>
          <w:highlight w:val="none"/>
        </w:rPr>
      </w:pPr>
      <w:r>
        <w:rPr>
          <w:rFonts w:asciiTheme="minorEastAsia" w:hAnsiTheme="minorEastAsia" w:eastAsiaTheme="minorEastAsia"/>
          <w:color w:val="auto"/>
          <w:sz w:val="28"/>
          <w:szCs w:val="28"/>
          <w:highlight w:val="none"/>
        </w:rPr>
        <w:fldChar w:fldCharType="begin"/>
      </w:r>
      <w:r>
        <w:rPr>
          <w:rFonts w:asciiTheme="minorEastAsia" w:hAnsiTheme="minorEastAsia" w:eastAsiaTheme="minorEastAsia"/>
          <w:color w:val="auto"/>
          <w:sz w:val="28"/>
          <w:szCs w:val="28"/>
          <w:highlight w:val="none"/>
        </w:rPr>
        <w:instrText xml:space="preserve"> HYPERLINK \l _Toc2364 </w:instrText>
      </w:r>
      <w:r>
        <w:rPr>
          <w:rFonts w:asciiTheme="minorEastAsia" w:hAnsiTheme="minorEastAsia" w:eastAsiaTheme="minorEastAsia"/>
          <w:color w:val="auto"/>
          <w:sz w:val="28"/>
          <w:szCs w:val="28"/>
          <w:highlight w:val="none"/>
        </w:rPr>
        <w:fldChar w:fldCharType="separate"/>
      </w:r>
      <w:r>
        <w:rPr>
          <w:rFonts w:hint="eastAsia" w:asciiTheme="minorEastAsia" w:hAnsiTheme="minorEastAsia" w:eastAsiaTheme="minorEastAsia"/>
          <w:color w:val="auto"/>
          <w:sz w:val="28"/>
          <w:szCs w:val="28"/>
          <w:highlight w:val="none"/>
        </w:rPr>
        <w:t>第七章</w:t>
      </w:r>
      <w:r>
        <w:rPr>
          <w:rFonts w:hint="eastAsia" w:ascii="宋体" w:hAnsi="宋体" w:eastAsia="宋体"/>
          <w:bCs/>
          <w:color w:val="auto"/>
          <w:sz w:val="28"/>
          <w:szCs w:val="28"/>
          <w:highlight w:val="none"/>
        </w:rPr>
        <w:t xml:space="preserve">  政府采购</w:t>
      </w:r>
      <w:r>
        <w:rPr>
          <w:rFonts w:hint="eastAsia" w:asciiTheme="minorEastAsia" w:hAnsiTheme="minorEastAsia" w:eastAsiaTheme="minorEastAsia"/>
          <w:color w:val="auto"/>
          <w:sz w:val="28"/>
          <w:szCs w:val="28"/>
          <w:highlight w:val="none"/>
        </w:rPr>
        <w:t>供应</w:t>
      </w:r>
      <w:r>
        <w:rPr>
          <w:rFonts w:hint="eastAsia" w:ascii="宋体" w:hAnsi="宋体" w:eastAsia="宋体"/>
          <w:bCs/>
          <w:color w:val="auto"/>
          <w:sz w:val="28"/>
          <w:szCs w:val="28"/>
          <w:highlight w:val="none"/>
        </w:rPr>
        <w:t>商询问函和质疑函范本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_Toc2364 \h </w:instrText>
      </w:r>
      <w:r>
        <w:rPr>
          <w:color w:val="auto"/>
          <w:sz w:val="28"/>
          <w:szCs w:val="28"/>
          <w:highlight w:val="none"/>
        </w:rPr>
        <w:fldChar w:fldCharType="separate"/>
      </w:r>
      <w:r>
        <w:rPr>
          <w:color w:val="auto"/>
          <w:sz w:val="28"/>
          <w:szCs w:val="28"/>
          <w:highlight w:val="none"/>
        </w:rPr>
        <w:t>60</w:t>
      </w:r>
      <w:r>
        <w:rPr>
          <w:color w:val="auto"/>
          <w:sz w:val="28"/>
          <w:szCs w:val="28"/>
          <w:highlight w:val="none"/>
        </w:rPr>
        <w:fldChar w:fldCharType="end"/>
      </w:r>
      <w:r>
        <w:rPr>
          <w:rFonts w:asciiTheme="minorEastAsia" w:hAnsiTheme="minorEastAsia" w:eastAsiaTheme="minorEastAsia"/>
          <w:color w:val="auto"/>
          <w:sz w:val="28"/>
          <w:szCs w:val="28"/>
          <w:highlight w:val="none"/>
        </w:rPr>
        <w:fldChar w:fldCharType="end"/>
      </w:r>
    </w:p>
    <w:p w14:paraId="5BD7E70C">
      <w:pPr>
        <w:pStyle w:val="18"/>
        <w:tabs>
          <w:tab w:val="right" w:leader="dot" w:pos="8306"/>
        </w:tabs>
        <w:rPr>
          <w:color w:val="auto"/>
          <w:highlight w:val="none"/>
        </w:rPr>
      </w:pPr>
      <w:bookmarkStart w:id="148" w:name="_GoBack"/>
      <w:bookmarkEnd w:id="148"/>
    </w:p>
    <w:p w14:paraId="4429DAAC">
      <w:pPr>
        <w:spacing w:line="360" w:lineRule="auto"/>
        <w:rPr>
          <w:rFonts w:hint="eastAsia"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197FCA22">
      <w:pPr>
        <w:pStyle w:val="9"/>
        <w:rPr>
          <w:rFonts w:hint="eastAsia"/>
          <w:color w:val="auto"/>
          <w:highlight w:val="none"/>
        </w:rPr>
        <w:sectPr>
          <w:footerReference r:id="rId3" w:type="default"/>
          <w:pgSz w:w="11906" w:h="16838"/>
          <w:pgMar w:top="1440" w:right="1800" w:bottom="1440" w:left="1800" w:header="851" w:footer="992" w:gutter="0"/>
          <w:cols w:space="425" w:num="1"/>
          <w:docGrid w:type="lines" w:linePitch="312" w:charSpace="0"/>
        </w:sectPr>
      </w:pPr>
    </w:p>
    <w:p w14:paraId="445F0F72">
      <w:pPr>
        <w:spacing w:line="360" w:lineRule="auto"/>
        <w:jc w:val="center"/>
        <w:outlineLvl w:val="0"/>
        <w:rPr>
          <w:rFonts w:hint="eastAsia" w:asciiTheme="minorEastAsia" w:hAnsiTheme="minorEastAsia" w:eastAsiaTheme="minorEastAsia"/>
          <w:b/>
          <w:color w:val="auto"/>
          <w:sz w:val="28"/>
          <w:highlight w:val="none"/>
        </w:rPr>
      </w:pPr>
      <w:bookmarkStart w:id="1" w:name="_Toc13815"/>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0DE0621B">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rPr>
      </w:pPr>
      <w:bookmarkStart w:id="2" w:name="_Toc1215"/>
      <w:bookmarkEnd w:id="2"/>
      <w:r>
        <w:rPr>
          <w:rFonts w:hint="eastAsia" w:ascii="宋体" w:hAnsi="宋体" w:eastAsia="宋体" w:cs="宋体"/>
          <w:color w:val="auto"/>
          <w:sz w:val="24"/>
          <w:szCs w:val="24"/>
          <w:highlight w:val="none"/>
          <w:lang w:bidi="ar"/>
        </w:rPr>
        <w:t>项目概况</w:t>
      </w:r>
    </w:p>
    <w:p w14:paraId="7420698A">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bidi="ar"/>
        </w:rPr>
        <w:t>滁州市第一人民医院临床思维训练系统项目（三次）</w:t>
      </w:r>
      <w:r>
        <w:rPr>
          <w:rFonts w:hint="eastAsia" w:ascii="宋体" w:hAnsi="宋体" w:eastAsia="宋体" w:cs="宋体"/>
          <w:color w:val="auto"/>
          <w:sz w:val="24"/>
          <w:szCs w:val="24"/>
          <w:highlight w:val="none"/>
          <w:lang w:bidi="ar"/>
        </w:rPr>
        <w:t>的潜在投标人应在</w:t>
      </w:r>
      <w:r>
        <w:rPr>
          <w:rFonts w:hint="eastAsia" w:ascii="宋体" w:hAnsi="宋体" w:eastAsia="宋体" w:cs="宋体"/>
          <w:color w:val="auto"/>
          <w:sz w:val="24"/>
          <w:szCs w:val="24"/>
          <w:highlight w:val="none"/>
          <w:u w:val="single"/>
          <w:lang w:bidi="ar"/>
        </w:rPr>
        <w:t>滁州市第一人民医院网（http://www.czdyrmyy.com/）</w:t>
      </w:r>
      <w:r>
        <w:rPr>
          <w:rFonts w:hint="eastAsia" w:ascii="宋体" w:hAnsi="宋体" w:eastAsia="宋体" w:cs="宋体"/>
          <w:color w:val="auto"/>
          <w:sz w:val="24"/>
          <w:szCs w:val="24"/>
          <w:highlight w:val="none"/>
          <w:lang w:bidi="ar"/>
        </w:rPr>
        <w:t>获取招标文件，并于</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12</w:t>
      </w:r>
      <w:r>
        <w:rPr>
          <w:rFonts w:hint="eastAsia" w:ascii="宋体" w:hAnsi="宋体" w:eastAsia="宋体" w:cs="宋体"/>
          <w:bCs/>
          <w:color w:val="auto"/>
          <w:sz w:val="24"/>
          <w:szCs w:val="24"/>
          <w:highlight w:val="none"/>
          <w:u w:val="single"/>
          <w:lang w:bidi="ar"/>
        </w:rPr>
        <w:t>日</w:t>
      </w:r>
      <w:r>
        <w:rPr>
          <w:rFonts w:hint="eastAsia" w:ascii="宋体" w:hAnsi="宋体" w:eastAsia="宋体" w:cs="宋体"/>
          <w:bCs/>
          <w:color w:val="auto"/>
          <w:sz w:val="24"/>
          <w:szCs w:val="24"/>
          <w:highlight w:val="none"/>
          <w:u w:val="single"/>
          <w:lang w:val="en-US" w:eastAsia="zh-CN" w:bidi="ar"/>
        </w:rPr>
        <w:t>15时</w:t>
      </w:r>
      <w:r>
        <w:rPr>
          <w:rFonts w:hint="eastAsia" w:ascii="宋体" w:hAnsi="宋体" w:eastAsia="宋体" w:cs="宋体"/>
          <w:bCs/>
          <w:color w:val="auto"/>
          <w:sz w:val="24"/>
          <w:szCs w:val="24"/>
          <w:highlight w:val="none"/>
          <w:u w:val="single"/>
          <w:lang w:bidi="ar"/>
        </w:rPr>
        <w:t>00分</w:t>
      </w:r>
      <w:r>
        <w:rPr>
          <w:rFonts w:hint="eastAsia" w:ascii="宋体" w:hAnsi="宋体" w:eastAsia="宋体" w:cs="宋体"/>
          <w:bCs/>
          <w:color w:val="auto"/>
          <w:sz w:val="24"/>
          <w:szCs w:val="24"/>
          <w:highlight w:val="none"/>
          <w:lang w:bidi="ar"/>
        </w:rPr>
        <w:t>（北京时间）前递交投标文件</w:t>
      </w:r>
      <w:r>
        <w:rPr>
          <w:rFonts w:hint="eastAsia" w:ascii="宋体" w:hAnsi="宋体" w:eastAsia="宋体" w:cs="宋体"/>
          <w:color w:val="auto"/>
          <w:sz w:val="24"/>
          <w:szCs w:val="24"/>
          <w:highlight w:val="none"/>
          <w:lang w:bidi="ar"/>
        </w:rPr>
        <w:t>。</w:t>
      </w:r>
    </w:p>
    <w:p w14:paraId="1A7DDB21">
      <w:pPr>
        <w:keepNext w:val="0"/>
        <w:keepLines w:val="0"/>
        <w:pageBreakBefore w:val="0"/>
        <w:kinsoku/>
        <w:overflowPunct/>
        <w:topLinePunct w:val="0"/>
        <w:autoSpaceDN/>
        <w:bidi w:val="0"/>
        <w:adjustRightInd/>
        <w:snapToGrid/>
        <w:spacing w:line="440" w:lineRule="exact"/>
        <w:ind w:firstLine="437"/>
        <w:textAlignment w:val="auto"/>
        <w:outlineLvl w:val="1"/>
        <w:rPr>
          <w:rFonts w:hint="eastAsia" w:ascii="宋体" w:hAnsi="宋体" w:eastAsia="宋体"/>
          <w:b/>
          <w:bCs/>
          <w:color w:val="auto"/>
          <w:sz w:val="24"/>
          <w:szCs w:val="24"/>
          <w:highlight w:val="none"/>
        </w:rPr>
      </w:pPr>
      <w:bookmarkStart w:id="3" w:name="_Toc28359079"/>
      <w:bookmarkEnd w:id="3"/>
      <w:bookmarkStart w:id="4" w:name="_Toc35393790"/>
      <w:bookmarkEnd w:id="4"/>
      <w:bookmarkStart w:id="5" w:name="_Toc35393621"/>
      <w:bookmarkEnd w:id="5"/>
      <w:bookmarkStart w:id="6" w:name="_Toc58430305"/>
      <w:bookmarkEnd w:id="6"/>
      <w:bookmarkStart w:id="7" w:name="_Toc28359002"/>
      <w:bookmarkEnd w:id="7"/>
      <w:bookmarkStart w:id="8" w:name="_Toc12673"/>
      <w:bookmarkStart w:id="9" w:name="_Hlk24379207"/>
      <w:r>
        <w:rPr>
          <w:rFonts w:hint="eastAsia" w:ascii="宋体" w:hAnsi="宋体" w:eastAsia="宋体" w:cs="宋体"/>
          <w:b/>
          <w:bCs/>
          <w:color w:val="auto"/>
          <w:sz w:val="24"/>
          <w:szCs w:val="24"/>
          <w:highlight w:val="none"/>
          <w:lang w:bidi="ar"/>
        </w:rPr>
        <w:t>一、项目基本情况</w:t>
      </w:r>
      <w:bookmarkEnd w:id="8"/>
      <w:bookmarkEnd w:id="9"/>
    </w:p>
    <w:p w14:paraId="694C4E89">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项目编号：</w:t>
      </w:r>
      <w:r>
        <w:rPr>
          <w:rFonts w:hint="eastAsia" w:ascii="宋体" w:hAnsi="宋体" w:eastAsia="宋体" w:cs="宋体"/>
          <w:color w:val="auto"/>
          <w:sz w:val="24"/>
          <w:szCs w:val="24"/>
          <w:highlight w:val="none"/>
          <w:lang w:eastAsia="zh-CN" w:bidi="ar"/>
        </w:rPr>
        <w:t>CZYY-2026-30</w:t>
      </w:r>
    </w:p>
    <w:p w14:paraId="05ADD538">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项目名称：滁州市第一人民医院临床思维训练系统项目（三次）</w:t>
      </w:r>
    </w:p>
    <w:p w14:paraId="24E68B43">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预算金额：</w:t>
      </w:r>
      <w:r>
        <w:rPr>
          <w:rFonts w:hint="eastAsia" w:ascii="宋体" w:hAnsi="宋体" w:eastAsia="宋体" w:cs="宋体"/>
          <w:color w:val="auto"/>
          <w:sz w:val="24"/>
          <w:szCs w:val="24"/>
          <w:highlight w:val="none"/>
          <w:lang w:val="en-US" w:eastAsia="zh-CN" w:bidi="ar"/>
        </w:rPr>
        <w:t>295000</w:t>
      </w:r>
      <w:r>
        <w:rPr>
          <w:rFonts w:hint="eastAsia" w:ascii="宋体" w:hAnsi="宋体" w:eastAsia="宋体" w:cs="宋体"/>
          <w:color w:val="auto"/>
          <w:sz w:val="24"/>
          <w:szCs w:val="24"/>
          <w:highlight w:val="none"/>
          <w:lang w:bidi="ar"/>
        </w:rPr>
        <w:t>元</w:t>
      </w:r>
    </w:p>
    <w:p w14:paraId="3B79407D">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bidi="ar"/>
        </w:rPr>
        <w:t>最高限价：</w:t>
      </w:r>
      <w:r>
        <w:rPr>
          <w:rFonts w:hint="eastAsia" w:ascii="宋体" w:hAnsi="宋体" w:eastAsia="宋体" w:cs="宋体"/>
          <w:color w:val="auto"/>
          <w:sz w:val="24"/>
          <w:szCs w:val="24"/>
          <w:highlight w:val="none"/>
          <w:lang w:val="en-US" w:eastAsia="zh-CN" w:bidi="ar"/>
        </w:rPr>
        <w:t>295000</w:t>
      </w:r>
      <w:r>
        <w:rPr>
          <w:rFonts w:hint="eastAsia" w:ascii="宋体" w:hAnsi="宋体" w:eastAsia="宋体" w:cs="宋体"/>
          <w:color w:val="auto"/>
          <w:sz w:val="24"/>
          <w:szCs w:val="24"/>
          <w:highlight w:val="none"/>
          <w:lang w:bidi="ar"/>
        </w:rPr>
        <w:t>元，</w:t>
      </w:r>
      <w:r>
        <w:rPr>
          <w:rFonts w:hint="eastAsia" w:ascii="宋体" w:hAnsi="宋体" w:eastAsia="宋体" w:cs="宋体"/>
          <w:color w:val="auto"/>
          <w:kern w:val="0"/>
          <w:sz w:val="24"/>
          <w:szCs w:val="24"/>
          <w:highlight w:val="none"/>
        </w:rPr>
        <w:t>投标人投标</w:t>
      </w:r>
      <w:r>
        <w:rPr>
          <w:rFonts w:hint="eastAsia" w:ascii="宋体" w:hAnsi="宋体" w:eastAsia="宋体" w:cs="宋体"/>
          <w:color w:val="auto"/>
          <w:kern w:val="0"/>
          <w:sz w:val="24"/>
          <w:szCs w:val="24"/>
          <w:highlight w:val="none"/>
          <w:lang w:val="en-US" w:eastAsia="zh-CN"/>
        </w:rPr>
        <w:t>报价</w:t>
      </w:r>
      <w:r>
        <w:rPr>
          <w:rFonts w:hint="eastAsia" w:ascii="宋体" w:hAnsi="宋体" w:eastAsia="宋体" w:cs="宋体"/>
          <w:color w:val="auto"/>
          <w:kern w:val="0"/>
          <w:sz w:val="24"/>
          <w:szCs w:val="24"/>
          <w:highlight w:val="none"/>
        </w:rPr>
        <w:t>不得高于本项目设置最高限价，否则按无效投标处理。</w:t>
      </w:r>
    </w:p>
    <w:p w14:paraId="4F474E78">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采购需求：</w:t>
      </w:r>
      <w:r>
        <w:rPr>
          <w:rFonts w:hint="eastAsia" w:ascii="宋体" w:hAnsi="宋体" w:eastAsia="宋体" w:cs="宋体"/>
          <w:color w:val="auto"/>
          <w:kern w:val="0"/>
          <w:sz w:val="24"/>
          <w:szCs w:val="24"/>
          <w:highlight w:val="none"/>
          <w:lang w:val="en-US" w:eastAsia="zh-CN"/>
        </w:rPr>
        <w:t>详见采购需求。</w:t>
      </w:r>
    </w:p>
    <w:p w14:paraId="1A54DE9E">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合同履行期限：</w:t>
      </w:r>
      <w:r>
        <w:rPr>
          <w:rFonts w:hint="eastAsia" w:ascii="宋体" w:hAnsi="宋体" w:eastAsia="宋体" w:cs="宋体"/>
          <w:color w:val="auto"/>
          <w:kern w:val="0"/>
          <w:sz w:val="24"/>
          <w:szCs w:val="24"/>
          <w:highlight w:val="none"/>
          <w:lang w:val="en-US" w:eastAsia="zh-CN"/>
        </w:rPr>
        <w:t>合同签订后3个月内完成。</w:t>
      </w:r>
    </w:p>
    <w:p w14:paraId="44ED0D9E">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本项目不接受联合体投标。</w:t>
      </w:r>
    </w:p>
    <w:p w14:paraId="55304568">
      <w:pPr>
        <w:keepNext w:val="0"/>
        <w:keepLines w:val="0"/>
        <w:pageBreakBefore w:val="0"/>
        <w:kinsoku/>
        <w:overflowPunct/>
        <w:topLinePunct w:val="0"/>
        <w:autoSpaceDN/>
        <w:bidi w:val="0"/>
        <w:adjustRightInd/>
        <w:snapToGrid/>
        <w:spacing w:line="440" w:lineRule="exact"/>
        <w:ind w:firstLine="437"/>
        <w:textAlignment w:val="auto"/>
        <w:outlineLvl w:val="1"/>
        <w:rPr>
          <w:rFonts w:hint="eastAsia" w:ascii="宋体" w:hAnsi="宋体" w:eastAsia="宋体"/>
          <w:b/>
          <w:bCs/>
          <w:color w:val="auto"/>
          <w:sz w:val="24"/>
          <w:szCs w:val="24"/>
          <w:highlight w:val="none"/>
        </w:rPr>
      </w:pPr>
      <w:bookmarkStart w:id="10" w:name="_Toc35393791"/>
      <w:bookmarkEnd w:id="10"/>
      <w:bookmarkStart w:id="11" w:name="_Toc28359003"/>
      <w:bookmarkEnd w:id="11"/>
      <w:bookmarkStart w:id="12" w:name="_Toc35393622"/>
      <w:bookmarkEnd w:id="12"/>
      <w:bookmarkStart w:id="13" w:name="_Toc58430306"/>
      <w:bookmarkEnd w:id="13"/>
      <w:bookmarkStart w:id="14" w:name="_Toc28359080"/>
      <w:bookmarkStart w:id="15" w:name="_Toc17599"/>
      <w:r>
        <w:rPr>
          <w:rFonts w:hint="eastAsia" w:ascii="宋体" w:hAnsi="宋体" w:eastAsia="宋体" w:cs="宋体"/>
          <w:b/>
          <w:bCs/>
          <w:color w:val="auto"/>
          <w:sz w:val="24"/>
          <w:szCs w:val="24"/>
          <w:highlight w:val="none"/>
          <w:lang w:bidi="ar"/>
        </w:rPr>
        <w:t>二、申请人的资格要求</w:t>
      </w:r>
      <w:bookmarkEnd w:id="14"/>
      <w:bookmarkEnd w:id="15"/>
    </w:p>
    <w:p w14:paraId="37E38CE9">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1.满足《中华人民共和国政府采购法》第二十二条规定；</w:t>
      </w:r>
    </w:p>
    <w:p w14:paraId="30A3D24A">
      <w:pPr>
        <w:pStyle w:val="22"/>
        <w:keepNext w:val="0"/>
        <w:keepLines w:val="0"/>
        <w:widowControl/>
        <w:suppressLineNumbers w:val="0"/>
        <w:spacing w:before="0" w:beforeAutospacing="0" w:after="0" w:afterAutospacing="0" w:line="460" w:lineRule="atLeast"/>
        <w:ind w:right="0" w:firstLine="480" w:firstLineChars="200"/>
        <w:jc w:val="both"/>
        <w:rPr>
          <w:rFonts w:hint="eastAsia" w:ascii="宋体" w:hAnsi="宋体" w:eastAsia="宋体" w:cs="宋体"/>
          <w:color w:val="auto"/>
          <w:sz w:val="24"/>
          <w:szCs w:val="24"/>
          <w:highlight w:val="none"/>
          <w:lang w:bidi="ar"/>
        </w:rPr>
      </w:pPr>
      <w:bookmarkStart w:id="16" w:name="_Toc28359081"/>
      <w:bookmarkEnd w:id="16"/>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.本项目的特定资格要求：</w:t>
      </w:r>
      <w:r>
        <w:rPr>
          <w:rFonts w:hint="eastAsia" w:ascii="宋体" w:hAnsi="宋体" w:eastAsia="宋体" w:cs="宋体"/>
          <w:color w:val="auto"/>
          <w:sz w:val="24"/>
          <w:szCs w:val="24"/>
          <w:highlight w:val="none"/>
          <w:lang w:val="en-US" w:eastAsia="zh-CN" w:bidi="ar"/>
        </w:rPr>
        <w:t>无</w:t>
      </w:r>
      <w:r>
        <w:rPr>
          <w:rFonts w:hint="eastAsia" w:ascii="宋体" w:hAnsi="宋体" w:eastAsia="宋体" w:cs="宋体"/>
          <w:color w:val="auto"/>
          <w:sz w:val="24"/>
          <w:szCs w:val="24"/>
          <w:highlight w:val="none"/>
          <w:lang w:bidi="ar"/>
        </w:rPr>
        <w:t>。</w:t>
      </w:r>
    </w:p>
    <w:p w14:paraId="3E0B57F6">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.信誉要求：投标人不得存在以下情形：</w:t>
      </w:r>
    </w:p>
    <w:p w14:paraId="0CA7AEAE">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bookmarkStart w:id="17" w:name="_Toc35393792"/>
      <w:bookmarkEnd w:id="17"/>
      <w:bookmarkStart w:id="18" w:name="_Toc35393623"/>
      <w:bookmarkEnd w:id="18"/>
      <w:bookmarkStart w:id="19" w:name="_Toc58430307"/>
      <w:r>
        <w:rPr>
          <w:rFonts w:hint="eastAsia" w:ascii="宋体" w:hAnsi="宋体" w:eastAsia="宋体"/>
          <w:color w:val="auto"/>
          <w:sz w:val="24"/>
          <w:szCs w:val="18"/>
          <w:highlight w:val="none"/>
          <w:lang w:val="en-US" w:eastAsia="zh-CN"/>
        </w:rPr>
        <w:t xml:space="preserve">①被列入“信用中国”网站“失信被执行人”的； </w:t>
      </w:r>
    </w:p>
    <w:p w14:paraId="6B14D202">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②被列入“信用中国”网站“重大税收违法失信主体”的； </w:t>
      </w:r>
    </w:p>
    <w:p w14:paraId="35890CBA">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③被列入“信用中国”网站 “严重失信主体名单”的； </w:t>
      </w:r>
    </w:p>
    <w:p w14:paraId="62A713B2">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④在“信用中国”网站上披露的仍在公示期的严重失信行为(具体行为类别及判定依据见“信用中国”查询的严重失信行为类别及判定依据)的。</w:t>
      </w:r>
    </w:p>
    <w:p w14:paraId="4FA5935C">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⑤被列入国家企业信用信息公示系统网站“经营异常名录”或者“严重违法失信名单”的。 </w:t>
      </w:r>
    </w:p>
    <w:p w14:paraId="350A134C">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⑥被列入中国政府采购网站“政府采购严重违法失信行为信息记录”的。 </w:t>
      </w:r>
    </w:p>
    <w:p w14:paraId="3A2C18E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⑦前三年有行贿犯罪行为的单位和个人。 </w:t>
      </w:r>
    </w:p>
    <w:p w14:paraId="4D168ACA">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4.投标人所属分公司、办事处等分支机构存在第3款信誉要求①-⑦项情形之一的，接受投标人参加本项目。 </w:t>
      </w:r>
    </w:p>
    <w:p w14:paraId="234FA9AF">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olor w:val="auto"/>
          <w:sz w:val="24"/>
          <w:szCs w:val="18"/>
          <w:highlight w:val="none"/>
          <w:lang w:val="en-US" w:eastAsia="zh-CN"/>
        </w:rPr>
        <w:t>备注：第 3、4条按照“关于联合惩戒失信行为加强信用查询管理的通知”查询或承诺</w:t>
      </w:r>
      <w:r>
        <w:rPr>
          <w:rFonts w:hint="eastAsia" w:ascii="宋体" w:hAnsi="宋体" w:eastAsia="宋体" w:cs="宋体"/>
          <w:color w:val="auto"/>
          <w:sz w:val="24"/>
          <w:szCs w:val="24"/>
          <w:highlight w:val="none"/>
          <w:lang w:val="en-US" w:eastAsia="zh-CN" w:bidi="ar"/>
        </w:rPr>
        <w:t>。</w:t>
      </w:r>
    </w:p>
    <w:p w14:paraId="2C5A3994">
      <w:pPr>
        <w:keepNext w:val="0"/>
        <w:keepLines w:val="0"/>
        <w:pageBreakBefore w:val="0"/>
        <w:kinsoku/>
        <w:overflowPunct/>
        <w:topLinePunct w:val="0"/>
        <w:autoSpaceDN/>
        <w:bidi w:val="0"/>
        <w:adjustRightInd/>
        <w:snapToGrid/>
        <w:spacing w:line="440" w:lineRule="exact"/>
        <w:ind w:firstLine="437"/>
        <w:textAlignment w:val="auto"/>
        <w:outlineLvl w:val="1"/>
        <w:rPr>
          <w:rFonts w:hint="eastAsia" w:ascii="宋体" w:hAnsi="宋体" w:eastAsia="宋体"/>
          <w:b/>
          <w:bCs/>
          <w:color w:val="auto"/>
          <w:sz w:val="24"/>
          <w:szCs w:val="24"/>
          <w:highlight w:val="none"/>
        </w:rPr>
      </w:pPr>
      <w:bookmarkStart w:id="20" w:name="_Toc20962"/>
      <w:r>
        <w:rPr>
          <w:rFonts w:hint="eastAsia" w:ascii="宋体" w:hAnsi="宋体" w:eastAsia="宋体" w:cs="宋体"/>
          <w:b/>
          <w:bCs/>
          <w:color w:val="auto"/>
          <w:sz w:val="24"/>
          <w:szCs w:val="24"/>
          <w:highlight w:val="none"/>
          <w:lang w:bidi="ar"/>
        </w:rPr>
        <w:t>三、获取招标文件</w:t>
      </w:r>
      <w:bookmarkEnd w:id="19"/>
      <w:bookmarkEnd w:id="20"/>
    </w:p>
    <w:p w14:paraId="1C5FB5F0">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iCs/>
          <w:color w:val="auto"/>
          <w:sz w:val="24"/>
          <w:szCs w:val="24"/>
          <w:highlight w:val="none"/>
          <w:u w:val="single"/>
        </w:rPr>
      </w:pPr>
      <w:r>
        <w:rPr>
          <w:rFonts w:hint="eastAsia" w:ascii="宋体" w:hAnsi="宋体" w:eastAsia="宋体" w:cs="宋体"/>
          <w:color w:val="auto"/>
          <w:sz w:val="24"/>
          <w:szCs w:val="24"/>
          <w:highlight w:val="none"/>
          <w:lang w:bidi="ar"/>
        </w:rPr>
        <w:t>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color w:val="auto"/>
          <w:sz w:val="24"/>
          <w:szCs w:val="24"/>
          <w:highlight w:val="none"/>
          <w:u w:val="single"/>
          <w:lang w:bidi="ar"/>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5</w:t>
      </w:r>
      <w:r>
        <w:rPr>
          <w:rFonts w:hint="eastAsia" w:ascii="宋体" w:hAnsi="宋体" w:eastAsia="宋体" w:cs="宋体"/>
          <w:color w:val="auto"/>
          <w:sz w:val="24"/>
          <w:szCs w:val="24"/>
          <w:highlight w:val="none"/>
          <w:u w:val="single"/>
          <w:lang w:bidi="ar"/>
        </w:rPr>
        <w:t>日至202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color w:val="auto"/>
          <w:sz w:val="24"/>
          <w:szCs w:val="24"/>
          <w:highlight w:val="none"/>
          <w:u w:val="single"/>
          <w:lang w:bidi="ar"/>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12</w:t>
      </w:r>
      <w:r>
        <w:rPr>
          <w:rFonts w:hint="eastAsia" w:ascii="宋体" w:hAnsi="宋体" w:eastAsia="宋体" w:cs="宋体"/>
          <w:color w:val="auto"/>
          <w:sz w:val="24"/>
          <w:szCs w:val="24"/>
          <w:highlight w:val="none"/>
          <w:u w:val="single"/>
          <w:lang w:bidi="ar"/>
        </w:rPr>
        <w:t>日</w:t>
      </w:r>
    </w:p>
    <w:p w14:paraId="1ED3837E">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地点：滁州市第一人民医院网</w:t>
      </w:r>
    </w:p>
    <w:p w14:paraId="3368414E">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方式：网上下载</w:t>
      </w:r>
    </w:p>
    <w:p w14:paraId="419E2095">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售价：0元</w:t>
      </w:r>
    </w:p>
    <w:p w14:paraId="7616CB30">
      <w:pPr>
        <w:keepNext w:val="0"/>
        <w:keepLines w:val="0"/>
        <w:pageBreakBefore w:val="0"/>
        <w:kinsoku/>
        <w:overflowPunct/>
        <w:topLinePunct w:val="0"/>
        <w:autoSpaceDN/>
        <w:bidi w:val="0"/>
        <w:adjustRightInd/>
        <w:snapToGrid/>
        <w:spacing w:line="440" w:lineRule="exact"/>
        <w:ind w:firstLine="530" w:firstLineChars="220"/>
        <w:textAlignment w:val="auto"/>
        <w:outlineLvl w:val="1"/>
        <w:rPr>
          <w:rFonts w:hint="eastAsia" w:ascii="宋体" w:hAnsi="宋体" w:eastAsia="宋体"/>
          <w:b/>
          <w:bCs/>
          <w:color w:val="auto"/>
          <w:sz w:val="24"/>
          <w:szCs w:val="24"/>
          <w:highlight w:val="none"/>
        </w:rPr>
      </w:pPr>
      <w:bookmarkStart w:id="21" w:name="_Toc28359005"/>
      <w:bookmarkEnd w:id="21"/>
      <w:bookmarkStart w:id="22" w:name="_Toc35393793"/>
      <w:bookmarkEnd w:id="22"/>
      <w:bookmarkStart w:id="23" w:name="_Toc35393624"/>
      <w:bookmarkEnd w:id="23"/>
      <w:bookmarkStart w:id="24" w:name="_Toc28359082"/>
      <w:bookmarkEnd w:id="24"/>
      <w:bookmarkStart w:id="25" w:name="_Toc58430308"/>
      <w:bookmarkStart w:id="26" w:name="_Toc3216"/>
      <w:r>
        <w:rPr>
          <w:rFonts w:hint="eastAsia" w:ascii="宋体" w:hAnsi="宋体" w:eastAsia="宋体" w:cs="宋体"/>
          <w:b/>
          <w:bCs/>
          <w:color w:val="auto"/>
          <w:sz w:val="24"/>
          <w:szCs w:val="24"/>
          <w:highlight w:val="none"/>
          <w:lang w:bidi="ar"/>
        </w:rPr>
        <w:t>四、</w:t>
      </w:r>
      <w:bookmarkEnd w:id="25"/>
      <w:r>
        <w:rPr>
          <w:rFonts w:hint="eastAsia" w:ascii="宋体" w:hAnsi="宋体" w:eastAsia="宋体" w:cs="宋体"/>
          <w:b/>
          <w:bCs/>
          <w:color w:val="auto"/>
          <w:sz w:val="24"/>
          <w:szCs w:val="24"/>
          <w:highlight w:val="none"/>
          <w:lang w:bidi="ar"/>
        </w:rPr>
        <w:t>提交投标文件截止时间、开标时间和地点</w:t>
      </w:r>
      <w:bookmarkEnd w:id="26"/>
    </w:p>
    <w:p w14:paraId="637DF32F">
      <w:pPr>
        <w:keepNext w:val="0"/>
        <w:keepLines w:val="0"/>
        <w:pageBreakBefore w:val="0"/>
        <w:kinsoku/>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color w:val="auto"/>
          <w:sz w:val="24"/>
          <w:szCs w:val="24"/>
          <w:highlight w:val="none"/>
          <w:u w:val="single"/>
          <w:lang w:bidi="ar"/>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12</w:t>
      </w:r>
      <w:r>
        <w:rPr>
          <w:rFonts w:hint="eastAsia" w:ascii="宋体" w:hAnsi="宋体" w:eastAsia="宋体" w:cs="宋体"/>
          <w:color w:val="auto"/>
          <w:sz w:val="24"/>
          <w:szCs w:val="24"/>
          <w:highlight w:val="none"/>
          <w:u w:val="single"/>
          <w:lang w:bidi="ar"/>
        </w:rPr>
        <w:t>日</w:t>
      </w:r>
      <w:r>
        <w:rPr>
          <w:rFonts w:hint="eastAsia" w:ascii="宋体" w:hAnsi="宋体" w:eastAsia="宋体" w:cs="宋体"/>
          <w:color w:val="auto"/>
          <w:sz w:val="24"/>
          <w:szCs w:val="24"/>
          <w:highlight w:val="none"/>
          <w:u w:val="single"/>
          <w:lang w:val="en-US" w:eastAsia="zh-CN" w:bidi="ar"/>
        </w:rPr>
        <w:t>15时</w:t>
      </w:r>
      <w:r>
        <w:rPr>
          <w:rFonts w:hint="eastAsia" w:ascii="宋体" w:hAnsi="宋体" w:eastAsia="宋体" w:cs="宋体"/>
          <w:bCs/>
          <w:color w:val="auto"/>
          <w:sz w:val="24"/>
          <w:szCs w:val="24"/>
          <w:highlight w:val="none"/>
          <w:u w:val="single"/>
          <w:lang w:bidi="ar"/>
        </w:rPr>
        <w:t>00分（</w:t>
      </w:r>
      <w:r>
        <w:rPr>
          <w:rFonts w:hint="eastAsia" w:ascii="宋体" w:hAnsi="宋体" w:eastAsia="宋体" w:cs="宋体"/>
          <w:bCs/>
          <w:color w:val="auto"/>
          <w:sz w:val="24"/>
          <w:szCs w:val="24"/>
          <w:highlight w:val="none"/>
          <w:lang w:bidi="ar"/>
        </w:rPr>
        <w:t>北京时间）</w:t>
      </w:r>
    </w:p>
    <w:p w14:paraId="71E750ED">
      <w:pPr>
        <w:keepNext w:val="0"/>
        <w:keepLines w:val="0"/>
        <w:pageBreakBefore w:val="0"/>
        <w:kinsoku/>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开标地点：</w:t>
      </w:r>
      <w:r>
        <w:rPr>
          <w:rFonts w:hint="eastAsia" w:ascii="宋体" w:hAnsi="宋体" w:eastAsia="宋体"/>
          <w:color w:val="auto"/>
          <w:sz w:val="24"/>
          <w:szCs w:val="18"/>
          <w:highlight w:val="none"/>
        </w:rPr>
        <w:t>滁州市第一人民医院南区行政部六楼会议室</w:t>
      </w:r>
    </w:p>
    <w:p w14:paraId="521881CB">
      <w:pPr>
        <w:keepNext w:val="0"/>
        <w:keepLines w:val="0"/>
        <w:pageBreakBefore w:val="0"/>
        <w:kinsoku/>
        <w:overflowPunct/>
        <w:topLinePunct w:val="0"/>
        <w:autoSpaceDE w:val="0"/>
        <w:autoSpaceDN/>
        <w:bidi w:val="0"/>
        <w:adjustRightInd/>
        <w:snapToGrid/>
        <w:spacing w:line="440" w:lineRule="exact"/>
        <w:ind w:firstLine="482" w:firstLineChars="200"/>
        <w:textAlignment w:val="auto"/>
        <w:outlineLvl w:val="2"/>
        <w:rPr>
          <w:rFonts w:hint="eastAsia" w:ascii="宋体" w:hAnsi="宋体" w:eastAsia="宋体"/>
          <w:b/>
          <w:bCs/>
          <w:color w:val="auto"/>
          <w:sz w:val="24"/>
          <w:szCs w:val="24"/>
          <w:highlight w:val="none"/>
        </w:rPr>
      </w:pPr>
      <w:r>
        <w:rPr>
          <w:rFonts w:hint="eastAsia" w:ascii="宋体" w:hAnsi="宋体" w:eastAsia="宋体" w:cs="宋体"/>
          <w:b/>
          <w:bCs/>
          <w:color w:val="auto"/>
          <w:sz w:val="24"/>
          <w:szCs w:val="24"/>
          <w:highlight w:val="none"/>
          <w:lang w:bidi="ar"/>
        </w:rPr>
        <w:t>投标文件递送（或邮寄）地址：滁</w:t>
      </w:r>
      <w:r>
        <w:rPr>
          <w:rFonts w:hint="eastAsia" w:ascii="宋体" w:hAnsi="宋体" w:eastAsia="宋体"/>
          <w:b/>
          <w:bCs/>
          <w:color w:val="auto"/>
          <w:sz w:val="24"/>
          <w:szCs w:val="18"/>
          <w:highlight w:val="none"/>
        </w:rPr>
        <w:t>州市醉翁西路369号，滁州市第一人民医院南区行政部五楼西招标办（请各投标人在响应文件提交截止时间前将响应文件递送或邮寄至滁州市第一人民医院南区行政部五楼西招标办，招标办联系电话：0550-3526032；采用邮寄方式提交，供应商请自行计算好邮件路途中所需的时间，逾期的概不接受）。</w:t>
      </w:r>
    </w:p>
    <w:p w14:paraId="410B5CF7">
      <w:pPr>
        <w:keepNext w:val="0"/>
        <w:keepLines w:val="0"/>
        <w:pageBreakBefore w:val="0"/>
        <w:kinsoku/>
        <w:overflowPunct/>
        <w:topLinePunct w:val="0"/>
        <w:autoSpaceDN/>
        <w:bidi w:val="0"/>
        <w:adjustRightInd/>
        <w:snapToGrid/>
        <w:spacing w:line="440" w:lineRule="exact"/>
        <w:ind w:firstLine="437"/>
        <w:textAlignment w:val="auto"/>
        <w:outlineLvl w:val="1"/>
        <w:rPr>
          <w:rFonts w:hint="eastAsia" w:ascii="宋体" w:hAnsi="宋体" w:eastAsia="宋体"/>
          <w:b/>
          <w:bCs/>
          <w:color w:val="auto"/>
          <w:sz w:val="24"/>
          <w:szCs w:val="24"/>
          <w:highlight w:val="none"/>
        </w:rPr>
      </w:pPr>
      <w:bookmarkStart w:id="27" w:name="_Toc35393625"/>
      <w:bookmarkEnd w:id="27"/>
      <w:bookmarkStart w:id="28" w:name="_Toc35393794"/>
      <w:bookmarkEnd w:id="28"/>
      <w:bookmarkStart w:id="29" w:name="_Toc28359007"/>
      <w:bookmarkEnd w:id="29"/>
      <w:bookmarkStart w:id="30" w:name="_Toc58430309"/>
      <w:bookmarkEnd w:id="30"/>
      <w:bookmarkStart w:id="31" w:name="_Toc28359084"/>
      <w:bookmarkStart w:id="32" w:name="_Toc21043"/>
      <w:r>
        <w:rPr>
          <w:rFonts w:hint="eastAsia" w:ascii="宋体" w:hAnsi="宋体" w:eastAsia="宋体" w:cs="宋体"/>
          <w:b/>
          <w:bCs/>
          <w:color w:val="auto"/>
          <w:sz w:val="24"/>
          <w:szCs w:val="24"/>
          <w:highlight w:val="none"/>
          <w:lang w:bidi="ar"/>
        </w:rPr>
        <w:t>五、公告期限</w:t>
      </w:r>
      <w:bookmarkEnd w:id="31"/>
      <w:bookmarkEnd w:id="32"/>
    </w:p>
    <w:p w14:paraId="6BFA45F8">
      <w:pPr>
        <w:keepNext w:val="0"/>
        <w:keepLines w:val="0"/>
        <w:pageBreakBefore w:val="0"/>
        <w:kinsoku/>
        <w:wordWrap w:val="0"/>
        <w:overflowPunct/>
        <w:topLinePunct w:val="0"/>
        <w:autoSpaceDE w:val="0"/>
        <w:autoSpaceDN/>
        <w:bidi w:val="0"/>
        <w:adjustRightInd/>
        <w:snapToGrid/>
        <w:spacing w:line="44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自本公告发布之日起5个工作日。</w:t>
      </w:r>
    </w:p>
    <w:p w14:paraId="7B5B3DEA">
      <w:pPr>
        <w:keepNext w:val="0"/>
        <w:keepLines w:val="0"/>
        <w:pageBreakBefore w:val="0"/>
        <w:kinsoku/>
        <w:overflowPunct/>
        <w:topLinePunct w:val="0"/>
        <w:autoSpaceDN/>
        <w:bidi w:val="0"/>
        <w:adjustRightInd/>
        <w:snapToGrid/>
        <w:spacing w:line="440" w:lineRule="exact"/>
        <w:ind w:firstLine="437"/>
        <w:textAlignment w:val="auto"/>
        <w:outlineLvl w:val="1"/>
        <w:rPr>
          <w:rFonts w:hint="eastAsia" w:ascii="宋体" w:hAnsi="宋体" w:eastAsia="宋体"/>
          <w:b/>
          <w:bCs/>
          <w:color w:val="auto"/>
          <w:sz w:val="24"/>
          <w:szCs w:val="24"/>
          <w:highlight w:val="none"/>
        </w:rPr>
      </w:pPr>
      <w:bookmarkStart w:id="33" w:name="_Toc58430310"/>
      <w:bookmarkEnd w:id="33"/>
      <w:bookmarkStart w:id="34" w:name="_Toc3186"/>
      <w:r>
        <w:rPr>
          <w:rFonts w:hint="eastAsia" w:ascii="宋体" w:hAnsi="宋体" w:eastAsia="宋体" w:cs="宋体"/>
          <w:b/>
          <w:bCs/>
          <w:color w:val="auto"/>
          <w:sz w:val="24"/>
          <w:szCs w:val="24"/>
          <w:highlight w:val="none"/>
          <w:lang w:bidi="ar"/>
        </w:rPr>
        <w:t>六、其他补充事宜</w:t>
      </w:r>
      <w:bookmarkEnd w:id="34"/>
    </w:p>
    <w:p w14:paraId="76633FE7">
      <w:pPr>
        <w:keepNext w:val="0"/>
        <w:keepLines w:val="0"/>
        <w:pageBreakBefore w:val="0"/>
        <w:kinsoku/>
        <w:overflowPunct/>
        <w:topLinePunct w:val="0"/>
        <w:autoSpaceDN/>
        <w:bidi w:val="0"/>
        <w:adjustRightInd/>
        <w:snapToGrid/>
        <w:spacing w:line="440" w:lineRule="exact"/>
        <w:ind w:firstLine="437"/>
        <w:textAlignment w:val="auto"/>
        <w:outlineLvl w:val="1"/>
        <w:rPr>
          <w:rFonts w:hint="eastAsia" w:ascii="宋体" w:hAnsi="宋体" w:eastAsia="宋体" w:cs="宋体"/>
          <w:color w:val="auto"/>
          <w:sz w:val="24"/>
          <w:szCs w:val="24"/>
          <w:highlight w:val="none"/>
          <w:lang w:bidi="ar"/>
        </w:rPr>
      </w:pPr>
      <w:bookmarkStart w:id="35" w:name="_Toc7265"/>
      <w:bookmarkEnd w:id="35"/>
      <w:bookmarkStart w:id="36" w:name="_Toc14253"/>
      <w:bookmarkStart w:id="37" w:name="_Toc3854"/>
      <w:r>
        <w:rPr>
          <w:rFonts w:hint="eastAsia" w:ascii="宋体" w:hAnsi="宋体" w:eastAsia="宋体" w:cs="宋体"/>
          <w:color w:val="auto"/>
          <w:sz w:val="24"/>
          <w:szCs w:val="24"/>
          <w:highlight w:val="none"/>
          <w:lang w:bidi="ar"/>
        </w:rPr>
        <w:t>无</w:t>
      </w:r>
      <w:bookmarkEnd w:id="36"/>
    </w:p>
    <w:p w14:paraId="58977189">
      <w:pPr>
        <w:keepNext w:val="0"/>
        <w:keepLines w:val="0"/>
        <w:pageBreakBefore w:val="0"/>
        <w:kinsoku/>
        <w:overflowPunct/>
        <w:topLinePunct w:val="0"/>
        <w:autoSpaceDN/>
        <w:bidi w:val="0"/>
        <w:adjustRightInd/>
        <w:snapToGrid/>
        <w:spacing w:line="440" w:lineRule="exact"/>
        <w:ind w:firstLine="437"/>
        <w:textAlignment w:val="auto"/>
        <w:outlineLvl w:val="1"/>
        <w:rPr>
          <w:rFonts w:hint="eastAsia" w:ascii="宋体" w:hAnsi="宋体" w:eastAsia="宋体"/>
          <w:b/>
          <w:bCs/>
          <w:color w:val="auto"/>
          <w:sz w:val="24"/>
          <w:szCs w:val="24"/>
          <w:highlight w:val="none"/>
        </w:rPr>
      </w:pPr>
      <w:bookmarkStart w:id="38" w:name="_Toc30149"/>
      <w:r>
        <w:rPr>
          <w:rFonts w:hint="eastAsia" w:ascii="宋体" w:hAnsi="宋体" w:eastAsia="宋体" w:cs="宋体"/>
          <w:b/>
          <w:bCs/>
          <w:color w:val="auto"/>
          <w:sz w:val="24"/>
          <w:szCs w:val="24"/>
          <w:highlight w:val="none"/>
          <w:lang w:bidi="ar"/>
        </w:rPr>
        <w:t>七、</w:t>
      </w:r>
      <w:bookmarkEnd w:id="37"/>
      <w:r>
        <w:rPr>
          <w:rFonts w:hint="eastAsia" w:ascii="宋体" w:hAnsi="宋体" w:eastAsia="宋体" w:cs="宋体"/>
          <w:b/>
          <w:bCs/>
          <w:color w:val="auto"/>
          <w:sz w:val="24"/>
          <w:szCs w:val="24"/>
          <w:highlight w:val="none"/>
          <w:lang w:bidi="ar"/>
        </w:rPr>
        <w:t>对本次招标提出询问，请按以下方式联系</w:t>
      </w:r>
      <w:bookmarkEnd w:id="38"/>
    </w:p>
    <w:p w14:paraId="3D502B8D">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rPr>
      </w:pPr>
      <w:r>
        <w:rPr>
          <w:rFonts w:hint="eastAsia" w:ascii="宋体" w:hAnsi="宋体" w:eastAsia="宋体" w:cs="宋体"/>
          <w:kern w:val="2"/>
          <w:sz w:val="24"/>
          <w:szCs w:val="24"/>
          <w:highlight w:val="none"/>
          <w:lang w:val="en-US" w:eastAsia="zh-CN" w:bidi="ar"/>
        </w:rPr>
        <w:t>1.采购人信息</w:t>
      </w:r>
    </w:p>
    <w:p w14:paraId="2A87A86D">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rPr>
      </w:pPr>
      <w:r>
        <w:rPr>
          <w:rFonts w:hint="eastAsia" w:ascii="宋体" w:hAnsi="宋体" w:eastAsia="宋体" w:cs="宋体"/>
          <w:kern w:val="2"/>
          <w:sz w:val="24"/>
          <w:szCs w:val="24"/>
          <w:highlight w:val="none"/>
          <w:lang w:val="en-US" w:eastAsia="zh-CN" w:bidi="ar"/>
        </w:rPr>
        <w:t>名  称：</w:t>
      </w:r>
      <w:r>
        <w:rPr>
          <w:rFonts w:hint="eastAsia" w:ascii="宋体" w:hAnsi="宋体" w:eastAsia="宋体" w:cs="宋体"/>
          <w:kern w:val="2"/>
          <w:sz w:val="24"/>
          <w:szCs w:val="24"/>
          <w:highlight w:val="none"/>
          <w:u w:val="single"/>
          <w:lang w:val="en-US" w:eastAsia="zh-CN" w:bidi="ar"/>
        </w:rPr>
        <w:t>滁州市第一人民医院</w:t>
      </w:r>
    </w:p>
    <w:p w14:paraId="268AEBE1">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u w:val="single"/>
        </w:rPr>
      </w:pPr>
      <w:r>
        <w:rPr>
          <w:rFonts w:hint="eastAsia" w:ascii="宋体" w:hAnsi="宋体" w:eastAsia="宋体" w:cs="宋体"/>
          <w:kern w:val="2"/>
          <w:sz w:val="24"/>
          <w:szCs w:val="24"/>
          <w:highlight w:val="none"/>
          <w:lang w:val="en-US" w:eastAsia="zh-CN" w:bidi="ar"/>
        </w:rPr>
        <w:t>地</w:t>
      </w:r>
      <w:r>
        <w:rPr>
          <w:rFonts w:hint="eastAsia" w:ascii="宋体" w:hAnsi="宋体" w:eastAsia="宋体" w:cs="@仿宋_GB2312"/>
          <w:kern w:val="2"/>
          <w:sz w:val="24"/>
          <w:szCs w:val="24"/>
          <w:highlight w:val="none"/>
          <w:lang w:val="en-US" w:eastAsia="zh-CN" w:bidi="ar"/>
        </w:rPr>
        <w:t xml:space="preserve">  </w:t>
      </w:r>
      <w:r>
        <w:rPr>
          <w:rFonts w:hint="eastAsia" w:ascii="宋体" w:hAnsi="宋体" w:eastAsia="宋体" w:cs="宋体"/>
          <w:kern w:val="2"/>
          <w:sz w:val="24"/>
          <w:szCs w:val="24"/>
          <w:highlight w:val="none"/>
          <w:lang w:val="en-US" w:eastAsia="zh-CN" w:bidi="ar"/>
        </w:rPr>
        <w:t>址：</w:t>
      </w:r>
      <w:r>
        <w:rPr>
          <w:rFonts w:hint="eastAsia" w:ascii="宋体" w:hAnsi="宋体" w:eastAsia="宋体" w:cs="宋体"/>
          <w:kern w:val="2"/>
          <w:sz w:val="24"/>
          <w:szCs w:val="24"/>
          <w:highlight w:val="none"/>
          <w:u w:val="single"/>
          <w:lang w:val="en-US" w:eastAsia="zh-CN" w:bidi="ar"/>
        </w:rPr>
        <w:t>滁州市醉翁西路369号</w:t>
      </w:r>
    </w:p>
    <w:p w14:paraId="3BD45DED">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rPr>
      </w:pPr>
      <w:r>
        <w:rPr>
          <w:rFonts w:hint="eastAsia" w:ascii="宋体" w:hAnsi="宋体" w:eastAsia="宋体" w:cs="宋体"/>
          <w:kern w:val="2"/>
          <w:sz w:val="24"/>
          <w:szCs w:val="24"/>
          <w:highlight w:val="none"/>
          <w:lang w:val="en-US" w:eastAsia="zh-CN" w:bidi="ar"/>
        </w:rPr>
        <w:t>联系人：</w:t>
      </w:r>
      <w:r>
        <w:rPr>
          <w:rFonts w:hint="eastAsia" w:ascii="宋体" w:hAnsi="宋体" w:eastAsia="宋体" w:cs="宋体"/>
          <w:kern w:val="2"/>
          <w:sz w:val="24"/>
          <w:szCs w:val="24"/>
          <w:highlight w:val="none"/>
          <w:u w:val="single"/>
          <w:lang w:val="en-US" w:eastAsia="zh-CN" w:bidi="ar"/>
        </w:rPr>
        <w:t>设备科</w:t>
      </w:r>
    </w:p>
    <w:p w14:paraId="61F7CC0A">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rPr>
      </w:pPr>
      <w:r>
        <w:rPr>
          <w:rFonts w:hint="eastAsia" w:ascii="宋体" w:hAnsi="宋体" w:eastAsia="宋体" w:cs="宋体"/>
          <w:kern w:val="2"/>
          <w:sz w:val="24"/>
          <w:szCs w:val="24"/>
          <w:highlight w:val="none"/>
          <w:lang w:val="en-US" w:eastAsia="zh-CN" w:bidi="ar"/>
        </w:rPr>
        <w:t>联系方式：</w:t>
      </w:r>
      <w:r>
        <w:rPr>
          <w:rFonts w:hint="eastAsia" w:ascii="宋体" w:hAnsi="宋体" w:eastAsia="宋体" w:cs="宋体"/>
          <w:kern w:val="2"/>
          <w:sz w:val="24"/>
          <w:szCs w:val="24"/>
          <w:highlight w:val="none"/>
          <w:u w:val="single"/>
          <w:lang w:val="en-US" w:eastAsia="zh-CN" w:bidi="ar"/>
        </w:rPr>
        <w:t>0550-3526031、13965952881</w:t>
      </w:r>
    </w:p>
    <w:p w14:paraId="00A51EF3">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rPr>
      </w:pPr>
      <w:r>
        <w:rPr>
          <w:rFonts w:hint="eastAsia" w:ascii="宋体" w:hAnsi="宋体" w:eastAsia="宋体" w:cs="宋体"/>
          <w:kern w:val="2"/>
          <w:sz w:val="24"/>
          <w:szCs w:val="24"/>
          <w:highlight w:val="none"/>
          <w:lang w:val="en-US" w:eastAsia="zh-CN" w:bidi="ar"/>
        </w:rPr>
        <w:t>2.采购代理、部门信息</w:t>
      </w:r>
    </w:p>
    <w:p w14:paraId="645E38E9">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rPr>
      </w:pPr>
      <w:r>
        <w:rPr>
          <w:rFonts w:hint="eastAsia" w:ascii="宋体" w:hAnsi="宋体" w:eastAsia="宋体" w:cs="宋体"/>
          <w:kern w:val="2"/>
          <w:sz w:val="24"/>
          <w:szCs w:val="24"/>
          <w:highlight w:val="none"/>
          <w:lang w:val="en-US" w:eastAsia="zh-CN" w:bidi="ar"/>
        </w:rPr>
        <w:t>名  称：</w:t>
      </w:r>
      <w:r>
        <w:rPr>
          <w:rFonts w:hint="eastAsia" w:ascii="宋体" w:hAnsi="宋体" w:eastAsia="宋体" w:cs="宋体"/>
          <w:kern w:val="2"/>
          <w:sz w:val="24"/>
          <w:szCs w:val="24"/>
          <w:highlight w:val="none"/>
          <w:u w:val="single"/>
          <w:lang w:val="en-US" w:eastAsia="zh-CN" w:bidi="ar"/>
        </w:rPr>
        <w:t>安徽百士德工程咨询有限公司、招标办</w:t>
      </w:r>
    </w:p>
    <w:p w14:paraId="2A2E6168">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kern w:val="2"/>
          <w:sz w:val="24"/>
          <w:szCs w:val="24"/>
          <w:highlight w:val="none"/>
          <w:u w:val="single"/>
        </w:rPr>
      </w:pPr>
      <w:r>
        <w:rPr>
          <w:rFonts w:hint="eastAsia" w:ascii="宋体" w:hAnsi="宋体" w:eastAsia="宋体" w:cs="宋体"/>
          <w:kern w:val="2"/>
          <w:sz w:val="24"/>
          <w:szCs w:val="24"/>
          <w:highlight w:val="none"/>
          <w:lang w:val="en-US" w:eastAsia="zh-CN" w:bidi="ar"/>
        </w:rPr>
        <w:t>地</w:t>
      </w:r>
      <w:r>
        <w:rPr>
          <w:rFonts w:hint="eastAsia" w:ascii="宋体" w:hAnsi="宋体" w:eastAsia="宋体" w:cs="@仿宋_GB2312"/>
          <w:kern w:val="2"/>
          <w:sz w:val="24"/>
          <w:szCs w:val="24"/>
          <w:highlight w:val="none"/>
          <w:lang w:val="en-US" w:eastAsia="zh-CN" w:bidi="ar"/>
        </w:rPr>
        <w:t xml:space="preserve">  </w:t>
      </w:r>
      <w:r>
        <w:rPr>
          <w:rFonts w:hint="eastAsia" w:ascii="宋体" w:hAnsi="宋体" w:eastAsia="宋体" w:cs="宋体"/>
          <w:kern w:val="2"/>
          <w:sz w:val="24"/>
          <w:szCs w:val="24"/>
          <w:highlight w:val="none"/>
          <w:lang w:val="en-US" w:eastAsia="zh-CN" w:bidi="ar"/>
        </w:rPr>
        <w:t>址：</w:t>
      </w:r>
      <w:r>
        <w:rPr>
          <w:rFonts w:hint="eastAsia" w:ascii="宋体" w:hAnsi="宋体" w:eastAsia="宋体" w:cs="宋体"/>
          <w:kern w:val="2"/>
          <w:sz w:val="24"/>
          <w:szCs w:val="24"/>
          <w:highlight w:val="none"/>
          <w:u w:val="single"/>
          <w:lang w:val="en-US" w:eastAsia="zh-CN" w:bidi="ar"/>
        </w:rPr>
        <w:t xml:space="preserve">滁州市会峰西路72-11号 </w:t>
      </w:r>
    </w:p>
    <w:p w14:paraId="46903465">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eastAsia="宋体"/>
          <w:kern w:val="2"/>
          <w:sz w:val="21"/>
          <w:szCs w:val="21"/>
          <w:highlight w:val="none"/>
        </w:rPr>
      </w:pPr>
      <w:r>
        <w:rPr>
          <w:rFonts w:hint="eastAsia" w:ascii="宋体" w:hAnsi="宋体" w:eastAsia="宋体" w:cs="宋体"/>
          <w:kern w:val="2"/>
          <w:sz w:val="24"/>
          <w:szCs w:val="24"/>
          <w:highlight w:val="none"/>
          <w:lang w:val="en-US" w:eastAsia="zh-CN" w:bidi="ar"/>
        </w:rPr>
        <w:t>联系人：</w:t>
      </w:r>
      <w:r>
        <w:rPr>
          <w:rFonts w:hint="eastAsia" w:ascii="宋体" w:hAnsi="宋体" w:eastAsia="宋体" w:cs="宋体"/>
          <w:kern w:val="2"/>
          <w:sz w:val="24"/>
          <w:szCs w:val="24"/>
          <w:highlight w:val="none"/>
          <w:u w:val="single"/>
          <w:lang w:val="en-US" w:eastAsia="zh-CN" w:bidi="ar"/>
        </w:rPr>
        <w:t>吕倩、招标办</w:t>
      </w:r>
    </w:p>
    <w:p w14:paraId="06314564">
      <w:pPr>
        <w:keepNext w:val="0"/>
        <w:keepLines w:val="0"/>
        <w:widowControl w:val="0"/>
        <w:suppressLineNumbers w:val="0"/>
        <w:spacing w:before="0" w:beforeAutospacing="0" w:after="0" w:afterAutospacing="0" w:line="360" w:lineRule="auto"/>
        <w:ind w:left="0" w:right="0" w:firstLine="480" w:firstLineChars="200"/>
        <w:jc w:val="both"/>
        <w:outlineLvl w:val="0"/>
        <w:rPr>
          <w:rFonts w:hint="eastAsia" w:ascii="宋体" w:hAnsi="宋体" w:eastAsia="宋体" w:cs="@仿宋_GB2312"/>
          <w:b/>
          <w:bCs w:val="0"/>
          <w:kern w:val="2"/>
          <w:sz w:val="28"/>
          <w:szCs w:val="28"/>
          <w:highlight w:val="none"/>
        </w:rPr>
      </w:pPr>
      <w:r>
        <w:rPr>
          <w:rFonts w:hint="eastAsia" w:ascii="宋体" w:hAnsi="宋体" w:eastAsia="宋体" w:cs="宋体"/>
          <w:kern w:val="2"/>
          <w:sz w:val="24"/>
          <w:szCs w:val="24"/>
          <w:highlight w:val="none"/>
          <w:lang w:val="en-US" w:eastAsia="zh-CN" w:bidi="ar"/>
        </w:rPr>
        <w:t>联系方式：</w:t>
      </w:r>
      <w:r>
        <w:rPr>
          <w:rFonts w:hint="eastAsia" w:ascii="宋体" w:hAnsi="宋体" w:eastAsia="宋体" w:cs="宋体"/>
          <w:kern w:val="2"/>
          <w:sz w:val="24"/>
          <w:szCs w:val="24"/>
          <w:highlight w:val="none"/>
          <w:u w:val="single"/>
          <w:lang w:val="en-US" w:eastAsia="zh-CN" w:bidi="ar"/>
        </w:rPr>
        <w:t>0550-3011399、15178499373、0550-3506032</w:t>
      </w:r>
    </w:p>
    <w:p w14:paraId="792D1FC9">
      <w:pPr>
        <w:pStyle w:val="9"/>
        <w:rPr>
          <w:rFonts w:hint="eastAsia" w:ascii="宋体" w:hAnsi="宋体" w:eastAsia="宋体" w:cs="@仿宋_GB2312"/>
          <w:color w:val="auto"/>
          <w:sz w:val="24"/>
          <w:highlight w:val="none"/>
          <w:u w:val="single"/>
          <w:lang w:val="en-US" w:bidi="ar"/>
        </w:rPr>
      </w:pPr>
    </w:p>
    <w:p w14:paraId="09740965">
      <w:pPr>
        <w:pStyle w:val="9"/>
        <w:rPr>
          <w:rFonts w:hint="eastAsia" w:ascii="宋体" w:hAnsi="宋体" w:eastAsia="宋体" w:cs="@仿宋_GB2312"/>
          <w:color w:val="auto"/>
          <w:sz w:val="24"/>
          <w:highlight w:val="none"/>
          <w:u w:val="single"/>
          <w:lang w:val="en-US" w:bidi="ar"/>
        </w:rPr>
      </w:pPr>
    </w:p>
    <w:p w14:paraId="6D0D4A35">
      <w:pPr>
        <w:pStyle w:val="9"/>
        <w:rPr>
          <w:rFonts w:hint="eastAsia" w:ascii="宋体" w:hAnsi="宋体" w:eastAsia="宋体" w:cs="@仿宋_GB2312"/>
          <w:color w:val="auto"/>
          <w:sz w:val="24"/>
          <w:highlight w:val="none"/>
          <w:u w:val="single"/>
          <w:lang w:val="en-US" w:bidi="ar"/>
        </w:rPr>
      </w:pPr>
    </w:p>
    <w:p w14:paraId="2DA39ABF">
      <w:pPr>
        <w:spacing w:line="360" w:lineRule="auto"/>
        <w:jc w:val="center"/>
        <w:outlineLvl w:val="0"/>
        <w:rPr>
          <w:rFonts w:hint="eastAsia" w:asciiTheme="minorEastAsia" w:hAnsiTheme="minorEastAsia" w:eastAsiaTheme="minorEastAsia"/>
          <w:b/>
          <w:color w:val="auto"/>
          <w:sz w:val="28"/>
          <w:highlight w:val="none"/>
        </w:rPr>
      </w:pPr>
      <w:bookmarkStart w:id="39" w:name="_Toc21266"/>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39"/>
    </w:p>
    <w:p w14:paraId="78745D49">
      <w:pPr>
        <w:spacing w:line="360" w:lineRule="auto"/>
        <w:jc w:val="center"/>
        <w:outlineLvl w:val="1"/>
        <w:rPr>
          <w:rFonts w:hint="eastAsia" w:asciiTheme="minorEastAsia" w:hAnsiTheme="minorEastAsia" w:eastAsiaTheme="minorEastAsia"/>
          <w:b/>
          <w:color w:val="auto"/>
          <w:sz w:val="24"/>
          <w:highlight w:val="none"/>
        </w:rPr>
      </w:pPr>
      <w:bookmarkStart w:id="40" w:name="_Toc3114"/>
      <w:bookmarkStart w:id="41" w:name="_Toc7178"/>
      <w:bookmarkStart w:id="42" w:name="_Toc12187"/>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40"/>
      <w:bookmarkEnd w:id="41"/>
      <w:bookmarkEnd w:id="42"/>
    </w:p>
    <w:p w14:paraId="232BB9CD">
      <w:pPr>
        <w:spacing w:line="360" w:lineRule="auto"/>
        <w:ind w:firstLine="435"/>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6101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39FBF">
            <w:pPr>
              <w:pStyle w:val="45"/>
              <w:widowControl w:val="0"/>
              <w:spacing w:before="0" w:beforeAutospacing="0" w:after="0" w:afterAutospacing="0"/>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57945E04">
            <w:pPr>
              <w:pStyle w:val="45"/>
              <w:widowControl w:val="0"/>
              <w:spacing w:before="0" w:beforeAutospacing="0" w:after="0" w:afterAutospacing="0"/>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71E7B46A">
            <w:pPr>
              <w:pStyle w:val="45"/>
              <w:widowControl w:val="0"/>
              <w:spacing w:before="0" w:beforeAutospacing="0" w:after="0" w:afterAutospacing="0"/>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801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5F042F">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06303B78">
            <w:pPr>
              <w:pStyle w:val="45"/>
              <w:widowControl w:val="0"/>
              <w:spacing w:before="0" w:beforeAutospacing="0" w:after="0" w:afterAutospacing="0" w:line="420" w:lineRule="exact"/>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3244" w:type="pct"/>
            <w:vAlign w:val="center"/>
          </w:tcPr>
          <w:p w14:paraId="03662D82">
            <w:pPr>
              <w:spacing w:line="420" w:lineRule="exact"/>
              <w:rPr>
                <w:rFonts w:hint="eastAsia"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01EC8F93">
            <w:pPr>
              <w:spacing w:line="420" w:lineRule="exact"/>
              <w:rPr>
                <w:rFonts w:hint="eastAsia"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6B4CA87B">
            <w:pPr>
              <w:spacing w:line="420" w:lineRule="exact"/>
              <w:rPr>
                <w:rFonts w:hint="eastAsia"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6E86BB9">
            <w:pPr>
              <w:spacing w:line="420" w:lineRule="exact"/>
              <w:rPr>
                <w:rFonts w:hint="eastAsia"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4D797E7C">
            <w:pPr>
              <w:spacing w:line="420" w:lineRule="exact"/>
              <w:rPr>
                <w:rFonts w:hint="eastAsia"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48F632A3">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516F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C4C4162">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1174" w:type="pct"/>
            <w:vAlign w:val="center"/>
          </w:tcPr>
          <w:p w14:paraId="747535F3">
            <w:pPr>
              <w:pStyle w:val="45"/>
              <w:widowControl w:val="0"/>
              <w:spacing w:before="0" w:beforeAutospacing="0" w:after="0" w:afterAutospacing="0" w:line="420" w:lineRule="exact"/>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4FA393F4">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u w:val="single"/>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11</w:t>
            </w:r>
            <w:r>
              <w:rPr>
                <w:rFonts w:ascii="宋体" w:hAnsi="宋体" w:eastAsia="宋体"/>
                <w:b w:val="0"/>
                <w:color w:val="auto"/>
                <w:sz w:val="24"/>
                <w:highlight w:val="none"/>
              </w:rPr>
              <w:t>日</w:t>
            </w:r>
            <w:r>
              <w:rPr>
                <w:rFonts w:hint="eastAsia" w:ascii="宋体" w:hAnsi="宋体" w:eastAsia="宋体"/>
                <w:b w:val="0"/>
                <w:color w:val="auto"/>
                <w:sz w:val="24"/>
                <w:highlight w:val="none"/>
                <w:u w:val="single"/>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rPr>
              <w:t>30</w:t>
            </w:r>
            <w:r>
              <w:rPr>
                <w:rFonts w:hint="eastAsia" w:ascii="宋体" w:hAnsi="宋体" w:eastAsia="宋体"/>
                <w:b w:val="0"/>
                <w:color w:val="auto"/>
                <w:sz w:val="24"/>
                <w:highlight w:val="none"/>
              </w:rPr>
              <w:t>分</w:t>
            </w:r>
          </w:p>
        </w:tc>
      </w:tr>
      <w:tr w14:paraId="59FC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859FDA6">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1174" w:type="pct"/>
            <w:vAlign w:val="center"/>
          </w:tcPr>
          <w:p w14:paraId="3F64B73A">
            <w:pPr>
              <w:pStyle w:val="45"/>
              <w:widowControl w:val="0"/>
              <w:spacing w:before="0" w:beforeAutospacing="0" w:after="0" w:afterAutospacing="0" w:line="420" w:lineRule="exact"/>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15D5F175">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u w:val="single"/>
              </w:rPr>
              <w:t>/</w:t>
            </w:r>
            <w:r>
              <w:rPr>
                <w:rFonts w:ascii="宋体" w:hAnsi="宋体" w:eastAsia="宋体"/>
                <w:b w:val="0"/>
                <w:color w:val="auto"/>
                <w:sz w:val="24"/>
                <w:highlight w:val="none"/>
              </w:rPr>
              <w:t xml:space="preserve"> 个包</w:t>
            </w:r>
          </w:p>
          <w:p w14:paraId="4B9CD09F">
            <w:pPr>
              <w:pStyle w:val="45"/>
              <w:widowControl w:val="0"/>
              <w:spacing w:before="0" w:beforeAutospacing="0" w:after="0" w:afterAutospacing="0" w:line="420" w:lineRule="exact"/>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2F73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3EA2D9CC">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1174" w:type="pct"/>
            <w:vAlign w:val="center"/>
          </w:tcPr>
          <w:p w14:paraId="088A3530">
            <w:pPr>
              <w:pStyle w:val="45"/>
              <w:widowControl w:val="0"/>
              <w:spacing w:before="0" w:beforeAutospacing="0" w:after="0" w:afterAutospacing="0" w:line="420" w:lineRule="exact"/>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39273041">
            <w:pPr>
              <w:spacing w:line="420" w:lineRule="exact"/>
              <w:rPr>
                <w:rFonts w:hint="eastAsia"/>
                <w:color w:val="auto"/>
                <w:highlight w:val="none"/>
              </w:rPr>
            </w:pPr>
            <w:r>
              <w:rPr>
                <w:rFonts w:hint="eastAsia" w:ascii="宋体" w:hAnsi="宋体" w:eastAsia="宋体"/>
                <w:bCs/>
                <w:color w:val="auto"/>
                <w:kern w:val="0"/>
                <w:sz w:val="24"/>
                <w:szCs w:val="28"/>
                <w:highlight w:val="none"/>
              </w:rPr>
              <w:t>不收取</w:t>
            </w:r>
          </w:p>
        </w:tc>
      </w:tr>
      <w:tr w14:paraId="3C9D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A1A2882">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1174" w:type="pct"/>
            <w:vAlign w:val="center"/>
          </w:tcPr>
          <w:p w14:paraId="08910528">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3E7F81A9">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个</w:t>
            </w:r>
            <w:r>
              <w:rPr>
                <w:rFonts w:hint="eastAsia" w:ascii="宋体" w:hAnsi="宋体" w:eastAsia="宋体"/>
                <w:b w:val="0"/>
                <w:color w:val="auto"/>
                <w:sz w:val="24"/>
                <w:highlight w:val="none"/>
              </w:rPr>
              <w:t>日历日</w:t>
            </w:r>
          </w:p>
        </w:tc>
      </w:tr>
      <w:tr w14:paraId="614C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335716A">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12.3</w:t>
            </w:r>
          </w:p>
        </w:tc>
        <w:tc>
          <w:tcPr>
            <w:tcW w:w="1174" w:type="pct"/>
            <w:vAlign w:val="center"/>
          </w:tcPr>
          <w:p w14:paraId="044CB6FE">
            <w:pPr>
              <w:widowControl/>
              <w:jc w:val="left"/>
              <w:rPr>
                <w:rFonts w:hint="eastAsia" w:ascii="宋体" w:hAnsi="宋体" w:eastAsia="宋体"/>
                <w:color w:val="auto"/>
                <w:sz w:val="24"/>
                <w:highlight w:val="none"/>
              </w:rPr>
            </w:pPr>
            <w:r>
              <w:rPr>
                <w:rFonts w:hint="eastAsia" w:ascii="宋体" w:hAnsi="宋体" w:eastAsia="宋体" w:cs="宋体"/>
                <w:b/>
                <w:bCs/>
                <w:color w:val="auto"/>
                <w:sz w:val="24"/>
                <w:szCs w:val="24"/>
                <w:highlight w:val="none"/>
                <w:lang w:bidi="ar"/>
              </w:rPr>
              <w:t>提交投标文件截止时间和地点</w:t>
            </w:r>
          </w:p>
        </w:tc>
        <w:tc>
          <w:tcPr>
            <w:tcW w:w="3244" w:type="pct"/>
            <w:vAlign w:val="center"/>
          </w:tcPr>
          <w:p w14:paraId="0E14ECB1">
            <w:pPr>
              <w:wordWrap w:val="0"/>
              <w:autoSpaceDE w:val="0"/>
              <w:spacing w:line="360" w:lineRule="auto"/>
              <w:outlineLvl w:val="2"/>
              <w:rPr>
                <w:rFonts w:hint="eastAsia" w:ascii="宋体" w:hAnsi="宋体" w:eastAsia="宋体" w:cs="宋体"/>
                <w:bCs/>
                <w:color w:val="auto"/>
                <w:sz w:val="24"/>
                <w:szCs w:val="24"/>
                <w:highlight w:val="none"/>
                <w:u w:val="single"/>
              </w:rPr>
            </w:pPr>
            <w:r>
              <w:rPr>
                <w:rFonts w:hint="eastAsia" w:ascii="宋体" w:hAnsi="宋体" w:eastAsia="宋体" w:cs="宋体"/>
                <w:b/>
                <w:bCs/>
                <w:color w:val="auto"/>
                <w:sz w:val="24"/>
                <w:szCs w:val="24"/>
                <w:highlight w:val="none"/>
                <w:lang w:bidi="ar"/>
              </w:rPr>
              <w:t>时间：</w:t>
            </w:r>
            <w:r>
              <w:rPr>
                <w:rFonts w:hint="eastAsia" w:ascii="宋体" w:hAnsi="宋体" w:eastAsia="宋体"/>
                <w:b w:val="0"/>
                <w:color w:val="auto"/>
                <w:sz w:val="24"/>
                <w:highlight w:val="none"/>
                <w:u w:val="none"/>
              </w:rPr>
              <w:t>202</w:t>
            </w:r>
            <w:r>
              <w:rPr>
                <w:rFonts w:hint="eastAsia" w:ascii="宋体" w:hAnsi="宋体" w:eastAsia="宋体"/>
                <w:b w:val="0"/>
                <w:color w:val="auto"/>
                <w:sz w:val="24"/>
                <w:highlight w:val="none"/>
                <w:u w:val="none"/>
                <w:lang w:val="en-US" w:eastAsia="zh-CN"/>
              </w:rPr>
              <w:t>6</w:t>
            </w:r>
            <w:r>
              <w:rPr>
                <w:rFonts w:ascii="宋体" w:hAnsi="宋体" w:eastAsia="宋体"/>
                <w:b w:val="0"/>
                <w:color w:val="auto"/>
                <w:sz w:val="24"/>
                <w:highlight w:val="none"/>
                <w:u w:val="none"/>
              </w:rPr>
              <w:t>年</w:t>
            </w:r>
            <w:r>
              <w:rPr>
                <w:rFonts w:hint="eastAsia" w:ascii="宋体" w:hAnsi="宋体" w:eastAsia="宋体"/>
                <w:b w:val="0"/>
                <w:color w:val="auto"/>
                <w:sz w:val="24"/>
                <w:highlight w:val="none"/>
                <w:u w:val="none"/>
                <w:lang w:val="en-US" w:eastAsia="zh-CN"/>
              </w:rPr>
              <w:t>8</w:t>
            </w:r>
            <w:r>
              <w:rPr>
                <w:rFonts w:ascii="宋体" w:hAnsi="宋体" w:eastAsia="宋体"/>
                <w:b w:val="0"/>
                <w:color w:val="auto"/>
                <w:sz w:val="24"/>
                <w:highlight w:val="none"/>
                <w:u w:val="none"/>
              </w:rPr>
              <w:t>月</w:t>
            </w:r>
            <w:r>
              <w:rPr>
                <w:rFonts w:hint="eastAsia" w:ascii="宋体" w:hAnsi="宋体" w:eastAsia="宋体"/>
                <w:b w:val="0"/>
                <w:color w:val="auto"/>
                <w:sz w:val="24"/>
                <w:highlight w:val="none"/>
                <w:u w:val="none"/>
                <w:lang w:val="en-US" w:eastAsia="zh-CN"/>
              </w:rPr>
              <w:t>12</w:t>
            </w:r>
            <w:r>
              <w:rPr>
                <w:rFonts w:ascii="宋体" w:hAnsi="宋体" w:eastAsia="宋体"/>
                <w:b w:val="0"/>
                <w:color w:val="auto"/>
                <w:sz w:val="24"/>
                <w:highlight w:val="none"/>
                <w:u w:val="none"/>
              </w:rPr>
              <w:t>日</w:t>
            </w:r>
            <w:r>
              <w:rPr>
                <w:rFonts w:hint="eastAsia" w:ascii="宋体" w:hAnsi="宋体" w:eastAsia="宋体"/>
                <w:b w:val="0"/>
                <w:color w:val="auto"/>
                <w:sz w:val="24"/>
                <w:highlight w:val="none"/>
                <w:u w:val="none"/>
                <w:lang w:val="en-US" w:eastAsia="zh-CN"/>
              </w:rPr>
              <w:t>15</w:t>
            </w:r>
            <w:r>
              <w:rPr>
                <w:rFonts w:hint="eastAsia" w:ascii="宋体" w:hAnsi="宋体" w:eastAsia="宋体" w:cs="宋体"/>
                <w:color w:val="auto"/>
                <w:sz w:val="24"/>
                <w:highlight w:val="none"/>
              </w:rPr>
              <w:t>时00分</w:t>
            </w:r>
            <w:r>
              <w:rPr>
                <w:rFonts w:hint="eastAsia" w:ascii="宋体" w:hAnsi="宋体" w:eastAsia="宋体" w:cs="宋体"/>
                <w:bCs/>
                <w:color w:val="auto"/>
                <w:sz w:val="24"/>
                <w:szCs w:val="24"/>
                <w:highlight w:val="none"/>
                <w:u w:val="none"/>
                <w:lang w:bidi="ar"/>
              </w:rPr>
              <w:t>（北</w:t>
            </w:r>
            <w:r>
              <w:rPr>
                <w:rFonts w:hint="eastAsia" w:ascii="宋体" w:hAnsi="宋体" w:eastAsia="宋体" w:cs="宋体"/>
                <w:bCs/>
                <w:color w:val="auto"/>
                <w:sz w:val="24"/>
                <w:szCs w:val="24"/>
                <w:highlight w:val="none"/>
                <w:lang w:bidi="ar"/>
              </w:rPr>
              <w:t>京时间）</w:t>
            </w:r>
          </w:p>
          <w:p w14:paraId="53C9018A">
            <w:pPr>
              <w:autoSpaceDE w:val="0"/>
              <w:spacing w:line="360" w:lineRule="auto"/>
              <w:outlineLvl w:val="2"/>
              <w:rPr>
                <w:rFonts w:hint="eastAsia" w:ascii="宋体" w:hAnsi="宋体" w:eastAsia="宋体"/>
                <w:color w:val="auto"/>
                <w:sz w:val="24"/>
                <w:highlight w:val="none"/>
                <w:u w:val="single"/>
              </w:rPr>
            </w:pPr>
            <w:r>
              <w:rPr>
                <w:rFonts w:hint="eastAsia" w:ascii="宋体" w:hAnsi="宋体" w:eastAsia="宋体" w:cs="宋体"/>
                <w:b/>
                <w:bCs/>
                <w:color w:val="auto"/>
                <w:sz w:val="24"/>
                <w:szCs w:val="24"/>
                <w:highlight w:val="none"/>
                <w:lang w:bidi="ar"/>
              </w:rPr>
              <w:t>地点：</w:t>
            </w:r>
            <w:r>
              <w:rPr>
                <w:rFonts w:hint="eastAsia" w:asciiTheme="minorEastAsia" w:hAnsiTheme="minorEastAsia" w:eastAsiaTheme="minorEastAsia"/>
                <w:b/>
                <w:bCs/>
                <w:color w:val="auto"/>
                <w:sz w:val="24"/>
                <w:szCs w:val="18"/>
                <w:highlight w:val="none"/>
              </w:rPr>
              <w:t>滁州市醉翁西路369号，滁州市第一人民医院南区行政部五楼西招标办（请各投标人在投标文件提交截止时间前将投标文件递送或邮寄至滁州市第一人民医院南区行政部五楼西招标办，招标办联系电话：0550-3526032；采用邮寄方式提交，供应商请自行计算好邮件路途中所需的时间，逾期的概不接受）</w:t>
            </w:r>
            <w:r>
              <w:rPr>
                <w:rFonts w:hint="eastAsia" w:asciiTheme="minorEastAsia" w:hAnsiTheme="minorEastAsia" w:eastAsiaTheme="minorEastAsia"/>
                <w:color w:val="auto"/>
                <w:sz w:val="24"/>
                <w:szCs w:val="18"/>
                <w:highlight w:val="none"/>
              </w:rPr>
              <w:t>。</w:t>
            </w:r>
          </w:p>
        </w:tc>
      </w:tr>
      <w:tr w14:paraId="2D70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844483">
            <w:pPr>
              <w:pStyle w:val="46"/>
              <w:pBdr>
                <w:bottom w:val="none" w:color="auto" w:sz="0" w:space="0"/>
              </w:pBdr>
              <w:tabs>
                <w:tab w:val="clear" w:pos="4153"/>
                <w:tab w:val="clear" w:pos="8306"/>
              </w:tabs>
              <w:adjustRightInd/>
              <w:spacing w:line="400" w:lineRule="exact"/>
              <w:ind w:firstLine="45" w:firstLineChars="0"/>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13.1</w:t>
            </w:r>
          </w:p>
        </w:tc>
        <w:tc>
          <w:tcPr>
            <w:tcW w:w="1174" w:type="pct"/>
            <w:vAlign w:val="center"/>
          </w:tcPr>
          <w:p w14:paraId="60156F61">
            <w:pPr>
              <w:widowControl/>
              <w:spacing w:line="400" w:lineRule="exact"/>
              <w:ind w:firstLine="45" w:firstLineChars="0"/>
              <w:jc w:val="left"/>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开标时间和地点</w:t>
            </w:r>
          </w:p>
        </w:tc>
        <w:tc>
          <w:tcPr>
            <w:tcW w:w="3244" w:type="pct"/>
            <w:vAlign w:val="center"/>
          </w:tcPr>
          <w:p w14:paraId="1F991BBE">
            <w:pPr>
              <w:spacing w:line="400" w:lineRule="exact"/>
              <w:ind w:firstLine="45"/>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开标时间：</w:t>
            </w:r>
            <w:r>
              <w:rPr>
                <w:rFonts w:hint="eastAsia" w:ascii="宋体" w:hAnsi="宋体" w:eastAsia="宋体"/>
                <w:b w:val="0"/>
                <w:color w:val="auto"/>
                <w:sz w:val="24"/>
                <w:highlight w:val="none"/>
                <w:u w:val="none"/>
              </w:rPr>
              <w:t>202</w:t>
            </w:r>
            <w:r>
              <w:rPr>
                <w:rFonts w:hint="eastAsia" w:ascii="宋体" w:hAnsi="宋体" w:eastAsia="宋体"/>
                <w:b w:val="0"/>
                <w:color w:val="auto"/>
                <w:sz w:val="24"/>
                <w:highlight w:val="none"/>
                <w:u w:val="none"/>
                <w:lang w:val="en-US" w:eastAsia="zh-CN"/>
              </w:rPr>
              <w:t>6</w:t>
            </w:r>
            <w:r>
              <w:rPr>
                <w:rFonts w:ascii="宋体" w:hAnsi="宋体" w:eastAsia="宋体"/>
                <w:b w:val="0"/>
                <w:color w:val="auto"/>
                <w:sz w:val="24"/>
                <w:highlight w:val="none"/>
                <w:u w:val="none"/>
              </w:rPr>
              <w:t>年</w:t>
            </w:r>
            <w:r>
              <w:rPr>
                <w:rFonts w:hint="eastAsia" w:ascii="宋体" w:hAnsi="宋体" w:eastAsia="宋体"/>
                <w:b w:val="0"/>
                <w:color w:val="auto"/>
                <w:sz w:val="24"/>
                <w:highlight w:val="none"/>
                <w:u w:val="none"/>
                <w:lang w:val="en-US" w:eastAsia="zh-CN"/>
              </w:rPr>
              <w:t>8</w:t>
            </w:r>
            <w:r>
              <w:rPr>
                <w:rFonts w:ascii="宋体" w:hAnsi="宋体" w:eastAsia="宋体"/>
                <w:b w:val="0"/>
                <w:color w:val="auto"/>
                <w:sz w:val="24"/>
                <w:highlight w:val="none"/>
                <w:u w:val="none"/>
              </w:rPr>
              <w:t>月</w:t>
            </w:r>
            <w:r>
              <w:rPr>
                <w:rFonts w:hint="eastAsia" w:ascii="宋体" w:hAnsi="宋体" w:eastAsia="宋体"/>
                <w:b w:val="0"/>
                <w:color w:val="auto"/>
                <w:sz w:val="24"/>
                <w:highlight w:val="none"/>
                <w:u w:val="none"/>
                <w:lang w:val="en-US" w:eastAsia="zh-CN"/>
              </w:rPr>
              <w:t>12</w:t>
            </w:r>
            <w:r>
              <w:rPr>
                <w:rFonts w:ascii="宋体" w:hAnsi="宋体" w:eastAsia="宋体"/>
                <w:b w:val="0"/>
                <w:color w:val="auto"/>
                <w:sz w:val="24"/>
                <w:highlight w:val="none"/>
                <w:u w:val="none"/>
              </w:rPr>
              <w:t>日</w:t>
            </w:r>
            <w:r>
              <w:rPr>
                <w:rFonts w:hint="eastAsia" w:ascii="宋体" w:hAnsi="宋体" w:eastAsia="宋体"/>
                <w:b w:val="0"/>
                <w:color w:val="auto"/>
                <w:sz w:val="24"/>
                <w:highlight w:val="none"/>
                <w:u w:val="none"/>
                <w:lang w:val="en-US" w:eastAsia="zh-CN"/>
              </w:rPr>
              <w:t>15</w:t>
            </w:r>
            <w:r>
              <w:rPr>
                <w:rFonts w:hint="eastAsia" w:ascii="宋体" w:hAnsi="宋体" w:eastAsia="宋体" w:cs="宋体"/>
                <w:color w:val="auto"/>
                <w:sz w:val="24"/>
                <w:highlight w:val="none"/>
              </w:rPr>
              <w:t>时00分</w:t>
            </w:r>
            <w:r>
              <w:rPr>
                <w:rFonts w:hint="eastAsia" w:ascii="宋体" w:hAnsi="宋体" w:eastAsia="宋体" w:cs="宋体"/>
                <w:color w:val="auto"/>
                <w:sz w:val="24"/>
                <w:highlight w:val="none"/>
                <w:u w:val="none"/>
              </w:rPr>
              <w:t xml:space="preserve">   </w:t>
            </w:r>
          </w:p>
          <w:p w14:paraId="79E47023">
            <w:pPr>
              <w:autoSpaceDE w:val="0"/>
              <w:spacing w:line="400" w:lineRule="exact"/>
              <w:ind w:firstLine="45" w:firstLineChars="0"/>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kern w:val="0"/>
                <w:sz w:val="24"/>
                <w:highlight w:val="none"/>
              </w:rPr>
              <w:t>开标地点</w:t>
            </w:r>
            <w:r>
              <w:rPr>
                <w:rFonts w:hint="eastAsia" w:ascii="宋体" w:hAnsi="宋体" w:eastAsia="宋体" w:cs="宋体"/>
                <w:color w:val="auto"/>
                <w:sz w:val="24"/>
                <w:highlight w:val="none"/>
              </w:rPr>
              <w:t>：</w:t>
            </w:r>
            <w:r>
              <w:rPr>
                <w:rFonts w:hint="eastAsia" w:ascii="宋体" w:hAnsi="宋体" w:eastAsia="宋体"/>
                <w:color w:val="auto"/>
                <w:sz w:val="24"/>
                <w:szCs w:val="18"/>
                <w:highlight w:val="none"/>
              </w:rPr>
              <w:t>滁州市第一人民医院南区行政部六楼会议室</w:t>
            </w:r>
            <w:r>
              <w:rPr>
                <w:rFonts w:hint="eastAsia" w:ascii="宋体" w:hAnsi="宋体" w:eastAsia="宋体" w:cs="宋体"/>
                <w:color w:val="auto"/>
                <w:sz w:val="24"/>
                <w:highlight w:val="none"/>
              </w:rPr>
              <w:t>。</w:t>
            </w:r>
          </w:p>
        </w:tc>
      </w:tr>
      <w:tr w14:paraId="6241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B961F4">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14.1</w:t>
            </w:r>
          </w:p>
        </w:tc>
        <w:tc>
          <w:tcPr>
            <w:tcW w:w="1174" w:type="pct"/>
            <w:vAlign w:val="center"/>
          </w:tcPr>
          <w:p w14:paraId="65EFB052">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374C1C19">
            <w:pPr>
              <w:pStyle w:val="45"/>
              <w:widowControl w:val="0"/>
              <w:spacing w:before="0" w:beforeAutospacing="0" w:after="0" w:afterAutospacing="0" w:line="420" w:lineRule="exact"/>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7DDEAA8B">
            <w:pPr>
              <w:pStyle w:val="45"/>
              <w:widowControl w:val="0"/>
              <w:spacing w:before="0" w:beforeAutospacing="0" w:after="0" w:afterAutospacing="0" w:line="420" w:lineRule="exact"/>
              <w:jc w:val="both"/>
              <w:rPr>
                <w:rFonts w:hint="eastAsia"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25E9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861CCD0">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1174" w:type="pct"/>
            <w:vAlign w:val="center"/>
          </w:tcPr>
          <w:p w14:paraId="2AFAEC94">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7752B943">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3B9A34D4">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B13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B1193F8">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1C667713">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21F2CF9F">
            <w:pPr>
              <w:pStyle w:val="45"/>
              <w:widowControl w:val="0"/>
              <w:spacing w:before="0" w:beforeAutospacing="0" w:after="0" w:afterAutospacing="0" w:line="420" w:lineRule="exact"/>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single"/>
              </w:rPr>
              <w:t>3家</w:t>
            </w:r>
          </w:p>
        </w:tc>
      </w:tr>
      <w:tr w14:paraId="0628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463502">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776C5EDF">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1380865A">
            <w:pPr>
              <w:spacing w:line="420" w:lineRule="exact"/>
              <w:rPr>
                <w:rFonts w:hint="eastAsia"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color w:val="auto"/>
                <w:kern w:val="0"/>
                <w:sz w:val="24"/>
                <w:szCs w:val="24"/>
                <w:highlight w:val="none"/>
              </w:rPr>
              <w:t>采购人委托评标委员会确定</w:t>
            </w:r>
          </w:p>
          <w:p w14:paraId="44AEEF8E">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5B7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A23F5B3">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1174" w:type="pct"/>
            <w:vAlign w:val="center"/>
          </w:tcPr>
          <w:p w14:paraId="2095851C">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232035AD">
            <w:pPr>
              <w:pStyle w:val="45"/>
              <w:widowControl w:val="0"/>
              <w:spacing w:before="0" w:beforeAutospacing="0" w:after="0" w:afterAutospacing="0" w:line="420" w:lineRule="exact"/>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Theme="minorEastAsia" w:hAnsiTheme="minorEastAsia" w:eastAsiaTheme="minorEastAsia"/>
                <w:b w:val="0"/>
                <w:bCs w:val="0"/>
                <w:color w:val="auto"/>
                <w:kern w:val="2"/>
                <w:sz w:val="24"/>
                <w:szCs w:val="24"/>
                <w:highlight w:val="none"/>
                <w:lang w:eastAsia="zh-CN"/>
              </w:rPr>
              <w:t>□</w:t>
            </w:r>
            <w:r>
              <w:rPr>
                <w:rFonts w:hint="eastAsia" w:ascii="宋体" w:hAnsi="宋体" w:eastAsia="宋体"/>
                <w:b w:val="0"/>
                <w:bCs w:val="0"/>
                <w:color w:val="auto"/>
                <w:sz w:val="24"/>
                <w:szCs w:val="24"/>
                <w:highlight w:val="none"/>
              </w:rPr>
              <w:t>数据电文</w:t>
            </w:r>
          </w:p>
        </w:tc>
      </w:tr>
      <w:tr w14:paraId="27F3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BEA2A2">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1174" w:type="pct"/>
            <w:vAlign w:val="center"/>
          </w:tcPr>
          <w:p w14:paraId="5871EA35">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2532C66D">
            <w:pPr>
              <w:pStyle w:val="22"/>
              <w:spacing w:before="0" w:beforeAutospacing="0" w:after="0" w:afterAutospacing="0" w:line="360" w:lineRule="auto"/>
              <w:jc w:val="both"/>
              <w:rPr>
                <w:rFonts w:hint="eastAsia" w:asciiTheme="minorEastAsia" w:hAnsiTheme="minorEastAsia" w:eastAsiaTheme="minorEastAsia"/>
                <w:color w:val="auto"/>
                <w:kern w:val="2"/>
                <w:szCs w:val="24"/>
                <w:highlight w:val="none"/>
              </w:rPr>
            </w:pPr>
            <w:r>
              <w:rPr>
                <w:rFonts w:hint="eastAsia" w:ascii="宋体" w:hAnsi="宋体" w:eastAsia="宋体" w:cs="宋体"/>
                <w:color w:val="auto"/>
                <w:szCs w:val="24"/>
                <w:highlight w:val="none"/>
              </w:rPr>
              <w:t>投标人自行在滁州市第一人民医院官网查看</w:t>
            </w:r>
          </w:p>
        </w:tc>
      </w:tr>
      <w:tr w14:paraId="7A32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328F7C73">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1174" w:type="pct"/>
            <w:vAlign w:val="center"/>
          </w:tcPr>
          <w:p w14:paraId="45A61B06">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0678774">
            <w:pPr>
              <w:spacing w:line="420" w:lineRule="exac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6EC4318C">
            <w:pPr>
              <w:spacing w:line="420" w:lineRule="exac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☑免收</w:t>
            </w:r>
          </w:p>
          <w:p w14:paraId="77ADC1D7">
            <w:pPr>
              <w:spacing w:line="420" w:lineRule="exact"/>
              <w:rPr>
                <w:rFonts w:hint="eastAsia"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5FF24A37">
            <w:pPr>
              <w:spacing w:line="420" w:lineRule="exact"/>
              <w:rPr>
                <w:rFonts w:hint="eastAsia"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6D161C95">
            <w:pPr>
              <w:spacing w:line="420" w:lineRule="exac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045382F5">
            <w:pPr>
              <w:spacing w:line="420" w:lineRule="exact"/>
              <w:rPr>
                <w:rFonts w:hint="eastAsia" w:ascii="宋体" w:hAnsi="宋体" w:eastAsia="宋体"/>
                <w:bCs/>
                <w:color w:val="auto"/>
                <w:kern w:val="0"/>
                <w:sz w:val="24"/>
                <w:szCs w:val="28"/>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Theme="minorEastAsia" w:hAnsiTheme="minorEastAsia" w:eastAsiaTheme="minorEastAsia"/>
                <w:b w:val="0"/>
                <w:bCs w:val="0"/>
                <w:color w:val="auto"/>
                <w:kern w:val="2"/>
                <w:sz w:val="24"/>
                <w:szCs w:val="24"/>
                <w:highlight w:val="none"/>
                <w:lang w:eastAsia="zh-CN"/>
              </w:rPr>
              <w:t>□</w:t>
            </w:r>
            <w:r>
              <w:rPr>
                <w:rFonts w:ascii="宋体" w:hAnsi="宋体" w:eastAsia="宋体"/>
                <w:bCs/>
                <w:color w:val="auto"/>
                <w:kern w:val="0"/>
                <w:sz w:val="24"/>
                <w:szCs w:val="28"/>
                <w:highlight w:val="none"/>
              </w:rPr>
              <w:t xml:space="preserve">支票 </w:t>
            </w:r>
            <w:r>
              <w:rPr>
                <w:rFonts w:hint="eastAsia" w:asciiTheme="minorEastAsia" w:hAnsiTheme="minorEastAsia" w:eastAsiaTheme="minorEastAsia"/>
                <w:b w:val="0"/>
                <w:bCs w:val="0"/>
                <w:color w:val="auto"/>
                <w:kern w:val="2"/>
                <w:sz w:val="24"/>
                <w:szCs w:val="24"/>
                <w:highlight w:val="none"/>
                <w:lang w:eastAsia="zh-CN"/>
              </w:rPr>
              <w:t>□</w:t>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Theme="minorEastAsia" w:hAnsiTheme="minorEastAsia" w:eastAsiaTheme="minorEastAsia"/>
                <w:b w:val="0"/>
                <w:bCs w:val="0"/>
                <w:color w:val="auto"/>
                <w:kern w:val="2"/>
                <w:sz w:val="24"/>
                <w:szCs w:val="24"/>
                <w:highlight w:val="none"/>
                <w:lang w:eastAsia="zh-CN"/>
              </w:rPr>
              <w:t>□</w:t>
            </w:r>
            <w:r>
              <w:rPr>
                <w:rFonts w:hint="eastAsia" w:ascii="宋体" w:hAnsi="宋体" w:eastAsia="宋体"/>
                <w:bCs/>
                <w:color w:val="auto"/>
                <w:kern w:val="0"/>
                <w:sz w:val="24"/>
                <w:szCs w:val="28"/>
                <w:highlight w:val="none"/>
              </w:rPr>
              <w:t xml:space="preserve">本票 </w:t>
            </w:r>
            <w:r>
              <w:rPr>
                <w:rFonts w:hint="eastAsia" w:asciiTheme="minorEastAsia" w:hAnsiTheme="minorEastAsia" w:eastAsiaTheme="minorEastAsia"/>
                <w:b w:val="0"/>
                <w:bCs w:val="0"/>
                <w:color w:val="auto"/>
                <w:kern w:val="2"/>
                <w:sz w:val="24"/>
                <w:szCs w:val="24"/>
                <w:highlight w:val="none"/>
                <w:lang w:eastAsia="zh-CN"/>
              </w:rPr>
              <w:t>□</w:t>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Theme="minorEastAsia" w:hAnsiTheme="minorEastAsia" w:eastAsiaTheme="minorEastAsia"/>
                <w:b w:val="0"/>
                <w:bCs w:val="0"/>
                <w:color w:val="auto"/>
                <w:kern w:val="2"/>
                <w:sz w:val="24"/>
                <w:szCs w:val="24"/>
                <w:highlight w:val="none"/>
                <w:lang w:eastAsia="zh-CN"/>
              </w:rPr>
              <w:t>□</w:t>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2D3AA2D">
            <w:pPr>
              <w:spacing w:line="420" w:lineRule="exac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 xml:space="preserve">              </w:t>
            </w:r>
          </w:p>
          <w:p w14:paraId="5D344A86">
            <w:pPr>
              <w:spacing w:line="420" w:lineRule="exac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     </w:t>
            </w:r>
          </w:p>
          <w:p w14:paraId="3A1BF024">
            <w:pPr>
              <w:spacing w:line="420" w:lineRule="exact"/>
              <w:rPr>
                <w:rFonts w:hint="eastAsia"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      </w:t>
            </w:r>
          </w:p>
          <w:p w14:paraId="5CD85969">
            <w:pPr>
              <w:spacing w:line="420" w:lineRule="exact"/>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72EB0428">
            <w:pPr>
              <w:spacing w:line="420" w:lineRule="exact"/>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3D0B6BC4">
            <w:pPr>
              <w:spacing w:line="420" w:lineRule="exact"/>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29F7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E3BB664">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1174" w:type="pct"/>
            <w:vAlign w:val="center"/>
          </w:tcPr>
          <w:p w14:paraId="03D10A5A">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44" w:type="pct"/>
          </w:tcPr>
          <w:p w14:paraId="0586C117">
            <w:pPr>
              <w:pStyle w:val="22"/>
              <w:widowControl/>
              <w:spacing w:before="0" w:beforeAutospacing="0" w:after="0" w:afterAutospacing="0" w:line="42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w:t>
            </w:r>
            <w:r>
              <w:rPr>
                <w:rFonts w:hint="eastAsia" w:ascii="宋体" w:hAnsi="宋体" w:eastAsia="宋体" w:cs="宋体"/>
                <w:color w:val="auto"/>
                <w:szCs w:val="24"/>
                <w:highlight w:val="none"/>
                <w:lang w:val="en-US" w:eastAsia="zh-CN"/>
              </w:rPr>
              <w:t>20</w:t>
            </w:r>
            <w:r>
              <w:rPr>
                <w:rFonts w:hint="eastAsia" w:ascii="宋体" w:hAnsi="宋体" w:eastAsia="宋体" w:cs="宋体"/>
                <w:color w:val="auto"/>
                <w:szCs w:val="24"/>
                <w:highlight w:val="none"/>
              </w:rPr>
              <w:t>个工作日内签订合同。</w:t>
            </w:r>
          </w:p>
          <w:p w14:paraId="1DAA5125">
            <w:pPr>
              <w:pStyle w:val="22"/>
              <w:widowControl/>
              <w:spacing w:before="0" w:beforeAutospacing="0" w:after="0" w:afterAutospacing="0" w:line="420" w:lineRule="exact"/>
              <w:rPr>
                <w:rFonts w:hint="eastAsia"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w:t>
            </w:r>
          </w:p>
        </w:tc>
      </w:tr>
      <w:tr w14:paraId="3846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bottom w:val="single" w:color="auto" w:sz="4" w:space="0"/>
            </w:tcBorders>
            <w:vAlign w:val="center"/>
          </w:tcPr>
          <w:p w14:paraId="204E483B">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1174" w:type="pct"/>
            <w:tcBorders>
              <w:bottom w:val="single" w:color="auto" w:sz="4" w:space="0"/>
            </w:tcBorders>
            <w:vAlign w:val="center"/>
          </w:tcPr>
          <w:p w14:paraId="7635C87C">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3244" w:type="pct"/>
            <w:tcBorders>
              <w:bottom w:val="single" w:color="auto" w:sz="4" w:space="0"/>
            </w:tcBorders>
            <w:vAlign w:val="center"/>
          </w:tcPr>
          <w:p w14:paraId="08594113">
            <w:pPr>
              <w:spacing w:before="39" w:line="420" w:lineRule="exact"/>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Theme="minorEastAsia" w:hAnsiTheme="minorEastAsia" w:eastAsiaTheme="minorEastAsia"/>
                <w:b w:val="0"/>
                <w:bCs w:val="0"/>
                <w:color w:val="auto"/>
                <w:kern w:val="2"/>
                <w:sz w:val="24"/>
                <w:szCs w:val="24"/>
                <w:highlight w:val="none"/>
                <w:lang w:eastAsia="zh-CN"/>
              </w:rPr>
              <w:t>□</w:t>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Theme="minorEastAsia" w:hAnsiTheme="minorEastAsia" w:eastAsiaTheme="minorEastAsia"/>
                <w:b w:val="0"/>
                <w:bCs w:val="0"/>
                <w:color w:val="auto"/>
                <w:kern w:val="2"/>
                <w:sz w:val="24"/>
                <w:szCs w:val="24"/>
                <w:highlight w:val="none"/>
                <w:lang w:eastAsia="zh-CN"/>
              </w:rPr>
              <w:t>☑</w:t>
            </w:r>
            <w:r>
              <w:rPr>
                <w:rFonts w:ascii="宋体" w:hAnsi="宋体" w:eastAsia="宋体" w:cs="宋体"/>
                <w:color w:val="auto"/>
                <w:spacing w:val="14"/>
                <w:sz w:val="24"/>
                <w:szCs w:val="24"/>
                <w:highlight w:val="none"/>
              </w:rPr>
              <w:t>中标人</w:t>
            </w:r>
          </w:p>
          <w:p w14:paraId="63222B79">
            <w:pPr>
              <w:spacing w:before="24" w:line="420" w:lineRule="exac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现金或银行转账</w:t>
            </w:r>
          </w:p>
          <w:p w14:paraId="30EABC4A">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hint="eastAsia" w:ascii="宋体" w:hAnsi="宋体" w:eastAsia="宋体"/>
                <w:b w:val="0"/>
                <w:color w:val="auto"/>
                <w:sz w:val="24"/>
                <w:highlight w:val="none"/>
                <w:u w:val="single"/>
                <w:lang w:val="en-US" w:eastAsia="zh-CN"/>
              </w:rPr>
              <w:t>2212</w:t>
            </w:r>
            <w:r>
              <w:rPr>
                <w:rFonts w:hint="eastAsia" w:ascii="宋体" w:hAnsi="宋体" w:eastAsia="宋体"/>
                <w:b w:val="0"/>
                <w:color w:val="auto"/>
                <w:sz w:val="24"/>
                <w:highlight w:val="none"/>
                <w:u w:val="single"/>
              </w:rPr>
              <w:t>元</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不含评审费，</w:t>
            </w:r>
            <w:r>
              <w:rPr>
                <w:rFonts w:hint="eastAsia" w:ascii="宋体" w:hAnsi="宋体" w:eastAsia="宋体" w:cs="宋体"/>
                <w:color w:val="auto"/>
                <w:sz w:val="24"/>
                <w:szCs w:val="24"/>
                <w:highlight w:val="none"/>
                <w:u w:val="single"/>
              </w:rPr>
              <w:t>评审费另计共2次，其中第</w:t>
            </w:r>
            <w:r>
              <w:rPr>
                <w:rFonts w:hint="eastAsia" w:ascii="宋体" w:hAnsi="宋体" w:eastAsia="宋体" w:cs="宋体"/>
                <w:color w:val="auto"/>
                <w:sz w:val="24"/>
                <w:szCs w:val="24"/>
                <w:highlight w:val="none"/>
                <w:u w:val="single"/>
                <w:lang w:val="en-US" w:eastAsia="zh-CN"/>
              </w:rPr>
              <w:t>二</w:t>
            </w:r>
            <w:r>
              <w:rPr>
                <w:rFonts w:hint="eastAsia" w:ascii="宋体" w:hAnsi="宋体" w:eastAsia="宋体" w:cs="宋体"/>
                <w:color w:val="auto"/>
                <w:sz w:val="24"/>
                <w:szCs w:val="24"/>
                <w:highlight w:val="none"/>
                <w:u w:val="single"/>
              </w:rPr>
              <w:t>次开标评审费</w:t>
            </w:r>
            <w:r>
              <w:rPr>
                <w:rFonts w:hint="eastAsia" w:ascii="宋体" w:hAnsi="宋体" w:eastAsia="宋体" w:cs="宋体"/>
                <w:color w:val="auto"/>
                <w:sz w:val="24"/>
                <w:szCs w:val="24"/>
                <w:highlight w:val="none"/>
                <w:u w:val="single"/>
                <w:lang w:val="en-US" w:eastAsia="zh-CN"/>
              </w:rPr>
              <w:t>1160</w:t>
            </w:r>
            <w:r>
              <w:rPr>
                <w:rFonts w:hint="eastAsia" w:ascii="宋体" w:hAnsi="宋体" w:eastAsia="宋体" w:cs="宋体"/>
                <w:color w:val="auto"/>
                <w:sz w:val="24"/>
                <w:szCs w:val="24"/>
                <w:highlight w:val="none"/>
                <w:u w:val="single"/>
              </w:rPr>
              <w:t>元，第</w:t>
            </w:r>
            <w:r>
              <w:rPr>
                <w:rFonts w:hint="eastAsia" w:ascii="宋体" w:hAnsi="宋体" w:eastAsia="宋体" w:cs="宋体"/>
                <w:color w:val="auto"/>
                <w:sz w:val="24"/>
                <w:szCs w:val="24"/>
                <w:highlight w:val="none"/>
                <w:u w:val="single"/>
                <w:lang w:val="en-US" w:eastAsia="zh-CN"/>
              </w:rPr>
              <w:t>三</w:t>
            </w:r>
            <w:r>
              <w:rPr>
                <w:rFonts w:hint="eastAsia" w:ascii="宋体" w:hAnsi="宋体" w:eastAsia="宋体" w:cs="宋体"/>
                <w:color w:val="auto"/>
                <w:sz w:val="24"/>
                <w:szCs w:val="24"/>
                <w:highlight w:val="none"/>
                <w:u w:val="single"/>
              </w:rPr>
              <w:t>次开标评审费以实际发生为准）</w:t>
            </w:r>
          </w:p>
        </w:tc>
      </w:tr>
      <w:tr w14:paraId="3D40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left w:val="single" w:color="auto" w:sz="4" w:space="0"/>
              <w:bottom w:val="single" w:color="auto" w:sz="4" w:space="0"/>
            </w:tcBorders>
            <w:vAlign w:val="center"/>
          </w:tcPr>
          <w:p w14:paraId="7977982B">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1174" w:type="pct"/>
            <w:tcBorders>
              <w:top w:val="single" w:color="auto" w:sz="4" w:space="0"/>
              <w:bottom w:val="single" w:color="auto" w:sz="4" w:space="0"/>
            </w:tcBorders>
            <w:vAlign w:val="center"/>
          </w:tcPr>
          <w:p w14:paraId="7C15AC38">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tcBorders>
              <w:top w:val="single" w:color="auto" w:sz="4" w:space="0"/>
              <w:bottom w:val="single" w:color="auto" w:sz="4" w:space="0"/>
              <w:right w:val="single" w:color="auto" w:sz="4" w:space="0"/>
            </w:tcBorders>
            <w:vAlign w:val="center"/>
          </w:tcPr>
          <w:p w14:paraId="667CD142">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书面形式或通过电子邮件递交。如投标人对招标文件有质疑，可以依据中华人民共和国财政部令第 94 号《政府采购质疑和投诉办法》规定，以书面形式向采购人、采购代理机构提出质疑，也可以通过电子邮件（</w:t>
            </w:r>
            <w:r>
              <w:rPr>
                <w:rFonts w:hint="eastAsia" w:ascii="宋体" w:hAnsi="宋体" w:eastAsia="宋体"/>
                <w:b w:val="0"/>
                <w:color w:val="auto"/>
                <w:sz w:val="24"/>
                <w:highlight w:val="none"/>
                <w:u w:val="single"/>
                <w:lang w:eastAsia="zh-CN"/>
              </w:rPr>
              <w:t>1225240102</w:t>
            </w:r>
            <w:r>
              <w:rPr>
                <w:rFonts w:hint="eastAsia" w:ascii="宋体" w:hAnsi="宋体" w:eastAsia="宋体"/>
                <w:b w:val="0"/>
                <w:color w:val="auto"/>
                <w:sz w:val="24"/>
                <w:highlight w:val="none"/>
                <w:u w:val="single"/>
              </w:rPr>
              <w:t xml:space="preserve">@qq.com）递交质疑。 </w:t>
            </w:r>
          </w:p>
          <w:p w14:paraId="5D74C6FD">
            <w:pPr>
              <w:spacing w:line="420" w:lineRule="exact"/>
              <w:rPr>
                <w:rFonts w:hint="eastAsia" w:ascii="仿宋" w:hAnsi="仿宋" w:eastAsia="仿宋" w:cs="仿宋"/>
                <w:color w:val="auto"/>
                <w:sz w:val="28"/>
                <w:szCs w:val="28"/>
                <w:highlight w:val="none"/>
              </w:rPr>
            </w:pPr>
            <w:r>
              <w:rPr>
                <w:rFonts w:hint="eastAsia" w:ascii="宋体" w:hAnsi="宋体" w:eastAsia="宋体"/>
                <w:color w:val="auto"/>
                <w:sz w:val="24"/>
                <w:highlight w:val="none"/>
              </w:rPr>
              <w:t>接收部门：</w:t>
            </w:r>
            <w:r>
              <w:rPr>
                <w:rFonts w:hint="eastAsia" w:ascii="宋体" w:hAnsi="宋体" w:eastAsia="宋体"/>
                <w:bCs/>
                <w:color w:val="auto"/>
                <w:kern w:val="0"/>
                <w:sz w:val="24"/>
                <w:szCs w:val="28"/>
                <w:highlight w:val="none"/>
                <w:u w:val="single"/>
              </w:rPr>
              <w:t>滁州市第一人民医院、安徽百士德工程咨询有限公司</w:t>
            </w:r>
          </w:p>
          <w:p w14:paraId="6402B4F8">
            <w:pPr>
              <w:spacing w:line="420" w:lineRule="exact"/>
              <w:rPr>
                <w:rFonts w:hint="eastAsia" w:ascii="宋体" w:hAnsi="宋体" w:eastAsia="宋体"/>
                <w:color w:val="auto"/>
                <w:sz w:val="24"/>
                <w:szCs w:val="18"/>
                <w:highlight w:val="none"/>
                <w:lang w:eastAsia="zh-CN"/>
              </w:rPr>
            </w:pPr>
            <w:r>
              <w:rPr>
                <w:rFonts w:ascii="宋体" w:hAnsi="宋体" w:eastAsia="宋体"/>
                <w:color w:val="auto"/>
                <w:sz w:val="24"/>
                <w:highlight w:val="none"/>
              </w:rPr>
              <w:t>联系电话：</w:t>
            </w:r>
            <w:r>
              <w:rPr>
                <w:rFonts w:hint="eastAsia" w:ascii="宋体" w:hAnsi="宋体" w:eastAsia="宋体"/>
                <w:color w:val="auto"/>
                <w:sz w:val="24"/>
                <w:szCs w:val="24"/>
                <w:highlight w:val="none"/>
                <w:u w:val="single"/>
                <w:lang w:bidi="ar"/>
              </w:rPr>
              <w:t>0550-3526032</w:t>
            </w:r>
            <w:r>
              <w:rPr>
                <w:rFonts w:hint="eastAsia" w:ascii="宋体" w:hAnsi="宋体" w:eastAsia="宋体"/>
                <w:bCs/>
                <w:color w:val="auto"/>
                <w:kern w:val="0"/>
                <w:sz w:val="24"/>
                <w:szCs w:val="28"/>
                <w:highlight w:val="none"/>
                <w:u w:val="single"/>
              </w:rPr>
              <w:t>、</w:t>
            </w:r>
            <w:r>
              <w:rPr>
                <w:rFonts w:hint="eastAsia" w:ascii="宋体" w:hAnsi="宋体" w:eastAsia="宋体"/>
                <w:bCs/>
                <w:color w:val="auto"/>
                <w:kern w:val="0"/>
                <w:sz w:val="24"/>
                <w:szCs w:val="28"/>
                <w:highlight w:val="none"/>
                <w:u w:val="single"/>
                <w:lang w:eastAsia="zh-CN"/>
              </w:rPr>
              <w:t>15178499373</w:t>
            </w:r>
          </w:p>
          <w:p w14:paraId="56E57EDC">
            <w:pPr>
              <w:spacing w:line="420" w:lineRule="exact"/>
              <w:rPr>
                <w:rFonts w:hint="eastAsia" w:ascii="宋体" w:hAnsi="宋体" w:eastAsia="宋体"/>
                <w:color w:val="auto"/>
                <w:sz w:val="24"/>
                <w:highlight w:val="none"/>
              </w:rPr>
            </w:pPr>
            <w:r>
              <w:rPr>
                <w:rFonts w:hint="eastAsia" w:ascii="宋体" w:hAnsi="宋体" w:eastAsia="宋体"/>
                <w:color w:val="auto"/>
                <w:sz w:val="24"/>
                <w:highlight w:val="none"/>
              </w:rPr>
              <w:t>通讯地址：</w:t>
            </w:r>
            <w:r>
              <w:rPr>
                <w:rFonts w:hint="eastAsia" w:ascii="宋体" w:hAnsi="宋体" w:eastAsia="宋体"/>
                <w:color w:val="auto"/>
                <w:sz w:val="24"/>
                <w:szCs w:val="24"/>
                <w:highlight w:val="none"/>
                <w:u w:val="single"/>
                <w:lang w:bidi="ar"/>
              </w:rPr>
              <w:t>滁州市醉翁西路369号</w:t>
            </w:r>
            <w:r>
              <w:rPr>
                <w:rFonts w:hint="eastAsia" w:ascii="宋体" w:hAnsi="宋体" w:eastAsia="宋体"/>
                <w:bCs/>
                <w:color w:val="auto"/>
                <w:kern w:val="0"/>
                <w:sz w:val="24"/>
                <w:szCs w:val="28"/>
                <w:highlight w:val="none"/>
                <w:u w:val="single"/>
              </w:rPr>
              <w:t xml:space="preserve">、滁州市会峰西路72-11号 </w:t>
            </w:r>
          </w:p>
        </w:tc>
      </w:tr>
      <w:tr w14:paraId="53FF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tcBorders>
            <w:vAlign w:val="center"/>
          </w:tcPr>
          <w:p w14:paraId="742A2D11">
            <w:pPr>
              <w:pStyle w:val="46"/>
              <w:pBdr>
                <w:bottom w:val="none" w:color="auto" w:sz="0" w:space="0"/>
              </w:pBdr>
              <w:tabs>
                <w:tab w:val="clear" w:pos="4153"/>
                <w:tab w:val="clear" w:pos="8306"/>
              </w:tabs>
              <w:adjustRightInd/>
              <w:spacing w:line="42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32</w:t>
            </w:r>
          </w:p>
        </w:tc>
        <w:tc>
          <w:tcPr>
            <w:tcW w:w="1174" w:type="pct"/>
            <w:tcBorders>
              <w:top w:val="single" w:color="auto" w:sz="4" w:space="0"/>
            </w:tcBorders>
            <w:vAlign w:val="center"/>
          </w:tcPr>
          <w:p w14:paraId="110FD951">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244" w:type="pct"/>
            <w:tcBorders>
              <w:top w:val="single" w:color="auto" w:sz="4" w:space="0"/>
            </w:tcBorders>
            <w:vAlign w:val="center"/>
          </w:tcPr>
          <w:p w14:paraId="2810C0E2">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1.解释权：</w:t>
            </w:r>
          </w:p>
          <w:p w14:paraId="25C46A61">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（1）构成本招标文件的各个组成文件应互为解释，互为说明；</w:t>
            </w:r>
          </w:p>
          <w:p w14:paraId="7B31E1A1">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（2）同一组成文件中就同一事项的规定或约定不一致的，以编排顺序在后者为准；</w:t>
            </w:r>
          </w:p>
          <w:p w14:paraId="43A9C7E3">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（3）如有不明确或不一致，构成合同文件组成内容的，以合同文件约定内容为准，且以专用合同条款约定的合同文件优先顺序解释；</w:t>
            </w:r>
          </w:p>
          <w:p w14:paraId="6366269B">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（4）除招标文件中有特别规定外，仅适用于招标投标阶段的规定，按招标公告、投标邀请、投标人须知、评标方法和标准、投标文件格式的先后顺序解释；</w:t>
            </w:r>
          </w:p>
          <w:p w14:paraId="60E3EBA9">
            <w:pPr>
              <w:pStyle w:val="45"/>
              <w:widowControl w:val="0"/>
              <w:spacing w:before="0" w:beforeAutospacing="0" w:after="0" w:afterAutospacing="0" w:line="420" w:lineRule="exact"/>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（5）按本款前述规定仍不能形成结论的，由采购人负责解释。</w:t>
            </w:r>
          </w:p>
          <w:p w14:paraId="22D4AD0E">
            <w:pPr>
              <w:pStyle w:val="45"/>
              <w:widowControl w:val="0"/>
              <w:spacing w:before="0" w:beforeAutospacing="0" w:after="0" w:afterAutospacing="0" w:line="420" w:lineRule="exact"/>
              <w:jc w:val="both"/>
              <w:rPr>
                <w:rFonts w:hint="eastAsia" w:asciiTheme="minorEastAsia" w:hAnsiTheme="minorEastAsia" w:eastAsiaTheme="minorEastAsia"/>
                <w:b w:val="0"/>
                <w:color w:val="auto"/>
                <w:kern w:val="2"/>
                <w:sz w:val="24"/>
                <w:szCs w:val="24"/>
                <w:highlight w:val="none"/>
              </w:rPr>
            </w:pPr>
            <w:r>
              <w:rPr>
                <w:rFonts w:hint="eastAsia" w:ascii="宋体" w:hAnsi="宋体" w:eastAsia="宋体"/>
                <w:b/>
                <w:bCs w:val="0"/>
                <w:color w:val="auto"/>
                <w:sz w:val="24"/>
                <w:highlight w:val="none"/>
              </w:rPr>
              <w:t>（6）投标单位中标后须递交与纸质投标文件完全一致的电子版投标文件一份，一并递交给代理机构。</w:t>
            </w:r>
          </w:p>
        </w:tc>
      </w:tr>
    </w:tbl>
    <w:p w14:paraId="137C2019">
      <w:pPr>
        <w:spacing w:line="360" w:lineRule="auto"/>
        <w:jc w:val="center"/>
        <w:outlineLvl w:val="1"/>
        <w:rPr>
          <w:rFonts w:hint="eastAsia" w:asciiTheme="minorEastAsia" w:hAnsiTheme="minorEastAsia" w:eastAsiaTheme="minorEastAsia"/>
          <w:b/>
          <w:color w:val="auto"/>
          <w:sz w:val="24"/>
          <w:highlight w:val="none"/>
        </w:rPr>
      </w:pPr>
      <w:bookmarkStart w:id="43" w:name="_Toc24882"/>
      <w:bookmarkStart w:id="44" w:name="_Toc14880"/>
      <w:bookmarkStart w:id="45" w:name="_Toc1923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43"/>
      <w:bookmarkEnd w:id="44"/>
      <w:bookmarkEnd w:id="45"/>
    </w:p>
    <w:p w14:paraId="1BE8119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30F76B4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1EDC519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05323DC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73780EA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FD6C19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CCE46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58FC3A8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5F5DF6C7">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32D110C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197E6084">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20496BD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BBAE050">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0B3C224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1CFC912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059735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22A99E5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602CB7D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2E948D9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1408AA5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B7B3581">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0C0594D">
      <w:pPr>
        <w:spacing w:line="360" w:lineRule="auto"/>
        <w:ind w:firstLine="435"/>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5E2EA4BB">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3E7277E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5.1招标文件包括下列内容：</w:t>
      </w:r>
    </w:p>
    <w:p w14:paraId="486E5D7D">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D056152">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273699E">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0A7C2A5">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3EE2EB2A">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22647F14">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046BF8E3">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D37CF0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10EA3C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9ADC769">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2AC7D0E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4EA4F10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28BF503E">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w:t>
      </w:r>
      <w:r>
        <w:rPr>
          <w:rFonts w:hint="eastAsia" w:asciiTheme="minorEastAsia" w:hAnsiTheme="minorEastAsia" w:eastAsiaTheme="minorEastAsia"/>
          <w:color w:val="auto"/>
          <w:sz w:val="24"/>
          <w:highlight w:val="none"/>
        </w:rPr>
        <w:t>可</w:t>
      </w:r>
      <w:r>
        <w:rPr>
          <w:rFonts w:asciiTheme="minorEastAsia" w:hAnsiTheme="minorEastAsia" w:eastAsiaTheme="minorEastAsia"/>
          <w:color w:val="auto"/>
          <w:sz w:val="24"/>
          <w:highlight w:val="none"/>
        </w:rPr>
        <w:t>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w:t>
      </w:r>
      <w:r>
        <w:rPr>
          <w:rFonts w:hint="eastAsia" w:ascii="宋体" w:hAnsi="宋体" w:eastAsia="宋体" w:cs="宋体"/>
          <w:color w:val="auto"/>
          <w:sz w:val="24"/>
          <w:szCs w:val="24"/>
          <w:highlight w:val="none"/>
        </w:rPr>
        <w:t>电子邮件形式向采购代理机构（采购代理机构邮箱：</w:t>
      </w:r>
      <w:r>
        <w:rPr>
          <w:rFonts w:hint="eastAsia" w:ascii="宋体" w:hAnsi="宋体" w:eastAsia="宋体" w:cs="宋体"/>
          <w:color w:val="auto"/>
          <w:sz w:val="24"/>
          <w:szCs w:val="24"/>
          <w:highlight w:val="none"/>
          <w:lang w:eastAsia="zh-CN"/>
        </w:rPr>
        <w:t>1225240102</w:t>
      </w:r>
      <w:r>
        <w:rPr>
          <w:rFonts w:hint="eastAsia" w:ascii="宋体" w:hAnsi="宋体" w:eastAsia="宋体" w:cs="宋体"/>
          <w:color w:val="auto"/>
          <w:sz w:val="24"/>
          <w:szCs w:val="24"/>
          <w:highlight w:val="none"/>
        </w:rPr>
        <w:t>@qq.com）提交疑问</w:t>
      </w:r>
      <w:r>
        <w:rPr>
          <w:rFonts w:asciiTheme="minorEastAsia" w:hAnsiTheme="minorEastAsia" w:eastAsiaTheme="minorEastAsia"/>
          <w:color w:val="auto"/>
          <w:sz w:val="24"/>
          <w:highlight w:val="none"/>
        </w:rPr>
        <w:t>。</w:t>
      </w:r>
    </w:p>
    <w:p w14:paraId="4E7624E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在滁州市第一人民医院网以发布更正公告的方式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573801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5B061D6A">
      <w:pPr>
        <w:spacing w:line="360" w:lineRule="auto"/>
        <w:ind w:firstLine="435"/>
        <w:rPr>
          <w:rFonts w:hint="eastAsia"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14A35FA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5A992B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412AE46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5881583">
      <w:pPr>
        <w:spacing w:line="360" w:lineRule="auto"/>
        <w:ind w:firstLine="435"/>
        <w:rPr>
          <w:rFonts w:hint="eastAsia" w:asciiTheme="minorEastAsia" w:hAnsiTheme="minorEastAsia" w:eastAsiaTheme="minorEastAsia"/>
          <w:color w:val="auto"/>
          <w:sz w:val="24"/>
          <w:highlight w:val="none"/>
        </w:rPr>
      </w:pPr>
      <w:bookmarkStart w:id="46"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46"/>
    <w:p w14:paraId="70AE05D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F24408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0CCD943B">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5BC4C9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63D2F65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47" w:name="_Hlk11703583"/>
      <w:r>
        <w:rPr>
          <w:rFonts w:hint="eastAsia" w:asciiTheme="minorEastAsia" w:hAnsiTheme="minorEastAsia" w:eastAsiaTheme="minorEastAsia"/>
          <w:color w:val="auto"/>
          <w:sz w:val="24"/>
          <w:highlight w:val="none"/>
        </w:rPr>
        <w:t>等。</w:t>
      </w:r>
    </w:p>
    <w:bookmarkEnd w:id="47"/>
    <w:p w14:paraId="2F40B43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04E17DD">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EF6657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3DA0049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3EDDC83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E90DE3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color w:val="auto"/>
          <w:sz w:val="24"/>
          <w:highlight w:val="none"/>
        </w:rPr>
        <w:t>必要时提交相关证明材料；投标人不能证明其报价合理性的，其投标将被认定为</w:t>
      </w:r>
      <w:r>
        <w:rPr>
          <w:rFonts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5ECE293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261071B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5FE70C3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3DCC5D31">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641FF80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397A9BC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FB6F178">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85A49B6">
      <w:pPr>
        <w:spacing w:line="360" w:lineRule="auto"/>
        <w:ind w:firstLine="437"/>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投标文件的密封、递交、修改与撤回</w:t>
      </w:r>
    </w:p>
    <w:p w14:paraId="5ACA78AC">
      <w:pPr>
        <w:spacing w:line="360" w:lineRule="auto"/>
        <w:ind w:firstLine="435"/>
        <w:rPr>
          <w:rFonts w:hint="eastAsia" w:ascii="宋体" w:hAnsi="宋体" w:cs="宋体"/>
          <w:color w:val="auto"/>
          <w:szCs w:val="21"/>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2.1投标文件的份数和签署</w:t>
      </w:r>
    </w:p>
    <w:p w14:paraId="2484491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（1）投标文件份数：</w:t>
      </w:r>
      <w:r>
        <w:rPr>
          <w:rFonts w:hint="eastAsia" w:asciiTheme="minorEastAsia" w:hAnsiTheme="minorEastAsia" w:eastAsiaTheme="minorEastAsia"/>
          <w:b/>
          <w:bCs/>
          <w:color w:val="auto"/>
          <w:sz w:val="24"/>
          <w:highlight w:val="none"/>
        </w:rPr>
        <w:t>一式三份，正本一份，副本二份</w:t>
      </w:r>
      <w:r>
        <w:rPr>
          <w:rFonts w:hint="eastAsia" w:asciiTheme="minorEastAsia" w:hAnsiTheme="minorEastAsia" w:eastAsiaTheme="minorEastAsia"/>
          <w:color w:val="auto"/>
          <w:sz w:val="24"/>
          <w:highlight w:val="none"/>
        </w:rPr>
        <w:t>。</w:t>
      </w:r>
    </w:p>
    <w:p w14:paraId="01F57CD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（1）投标文件的正本和副本均需打印或使用不褪色的蓝、黑墨水笔书写，字迹应清晰易于辩认，并应在投标文件封面的右上角清楚地注明“正本”或“副本”。正本和副本如有不一致之处，以正本为准。</w:t>
      </w:r>
    </w:p>
    <w:p w14:paraId="41C3B48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12．2投标文件的密封和标记</w:t>
      </w:r>
    </w:p>
    <w:p w14:paraId="0BF25AA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（1）供应商应当将投标文件正本、副本密封在一个档案袋内。</w:t>
      </w:r>
    </w:p>
    <w:p w14:paraId="6B8C391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注：样品按评分标准中的要求进行密封和标记</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w:t>
      </w:r>
    </w:p>
    <w:p w14:paraId="7D78112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12.3投标文件的提交</w:t>
      </w:r>
    </w:p>
    <w:p w14:paraId="0238177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 供应商应在供应商须知前附表规定的提交截止时间前递交投标文件。</w:t>
      </w:r>
    </w:p>
    <w:p w14:paraId="3CE8C62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（2）供应商提交投标文件的地点：见供应商须知前附表。</w:t>
      </w:r>
    </w:p>
    <w:p w14:paraId="4907DB6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（3）除供应商须知前附表另有规定外，供应商所递交的投标文件不予退还。</w:t>
      </w:r>
    </w:p>
    <w:p w14:paraId="4D78151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（4）逾期送达的或者未送达指定地点的投标文件，采购人不予受理。</w:t>
      </w:r>
    </w:p>
    <w:p w14:paraId="12CD1E8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12.4投标文件的补充、修改与撤回</w:t>
      </w:r>
    </w:p>
    <w:p w14:paraId="62198D8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（1）供应商在本章规定的投标文件投标截止时间前，供应商可以修改或撤回已递交的投标文件，但应以书面形式通知采购人。</w:t>
      </w:r>
    </w:p>
    <w:p w14:paraId="0956E4B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（2）供应商修改或撤回已递交投标文件的书面通知应按照本章的要求签字或盖章。</w:t>
      </w:r>
    </w:p>
    <w:p w14:paraId="658FDE5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（3）供应商撤回投标文件的，采购人自收到供应商书面撤回通知之日起5日内退还已收取的投标保证金。</w:t>
      </w:r>
    </w:p>
    <w:p w14:paraId="5B51CED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（4）修改的内容为投标文件的组成部分。</w:t>
      </w:r>
    </w:p>
    <w:p w14:paraId="6C787454">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413A82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应</w:t>
      </w:r>
      <w:r>
        <w:rPr>
          <w:rFonts w:hint="eastAsia" w:ascii="宋体" w:hAnsi="宋体" w:eastAsia="宋体" w:cs="宋体"/>
          <w:color w:val="auto"/>
          <w:sz w:val="24"/>
          <w:szCs w:val="24"/>
          <w:highlight w:val="none"/>
        </w:rPr>
        <w:t>对</w:t>
      </w:r>
      <w:r>
        <w:rPr>
          <w:rFonts w:ascii="宋体" w:hAnsi="宋体" w:eastAsia="宋体" w:cs="宋体"/>
          <w:color w:val="auto"/>
          <w:sz w:val="24"/>
          <w:szCs w:val="24"/>
          <w:highlight w:val="none"/>
        </w:rPr>
        <w:t>各投标人</w:t>
      </w:r>
      <w:r>
        <w:rPr>
          <w:rFonts w:hint="eastAsia" w:ascii="宋体" w:hAnsi="宋体" w:eastAsia="宋体" w:cs="宋体"/>
          <w:color w:val="auto"/>
          <w:sz w:val="24"/>
          <w:szCs w:val="24"/>
          <w:highlight w:val="none"/>
        </w:rPr>
        <w:t>的</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密封情况进行检查</w:t>
      </w:r>
      <w:r>
        <w:rPr>
          <w:rFonts w:asciiTheme="minorEastAsia" w:hAnsiTheme="minorEastAsia" w:eastAsiaTheme="minorEastAsia"/>
          <w:color w:val="auto"/>
          <w:sz w:val="24"/>
          <w:highlight w:val="none"/>
        </w:rPr>
        <w:t>。</w:t>
      </w:r>
    </w:p>
    <w:p w14:paraId="612616A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0D404A5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13.3采购人或采购代理机构将对开标过程进行记录，并存档备查。</w:t>
      </w:r>
    </w:p>
    <w:p w14:paraId="767058CC">
      <w:pPr>
        <w:spacing w:line="360" w:lineRule="auto"/>
        <w:ind w:firstLine="435"/>
        <w:rPr>
          <w:rFonts w:hint="eastAsia"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4F0B739C">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55EF7E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2759E0D1">
      <w:pPr>
        <w:spacing w:line="360" w:lineRule="auto"/>
        <w:ind w:firstLine="435"/>
        <w:rPr>
          <w:rFonts w:hint="eastAsia" w:ascii="宋体" w:hAnsi="宋体" w:eastAsia="宋体" w:cs="宋体"/>
          <w:color w:val="auto"/>
          <w:sz w:val="24"/>
          <w:szCs w:val="24"/>
          <w:highlight w:val="none"/>
        </w:rPr>
      </w:pPr>
      <w:bookmarkStart w:id="48" w:name="_Hlk24663244"/>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bookmarkEnd w:id="48"/>
    <w:p w14:paraId="3E1281B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6707813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5F4906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15.2如一个分包内只有一种产品，不同投标人所投产品为同一品牌的，按如下方式处理：</w:t>
      </w:r>
    </w:p>
    <w:p w14:paraId="32551B42">
      <w:pPr>
        <w:spacing w:line="360" w:lineRule="auto"/>
        <w:ind w:firstLine="435"/>
        <w:rPr>
          <w:rFonts w:hint="eastAsia" w:ascii="宋体" w:hAnsi="宋体" w:eastAsia="宋体"/>
          <w:b w:val="0"/>
          <w:bCs w:val="0"/>
          <w:color w:val="auto"/>
          <w:sz w:val="24"/>
          <w:highlight w:val="none"/>
        </w:rPr>
      </w:pPr>
      <w:r>
        <w:rPr>
          <w:rFonts w:hint="eastAsia" w:ascii="宋体" w:hAnsi="宋体" w:eastAsia="宋体"/>
          <w:b w:val="0"/>
          <w:bCs w:val="0"/>
          <w:color w:val="auto"/>
          <w:sz w:val="24"/>
          <w:highlight w:val="none"/>
        </w:rPr>
        <w:t>15.2.2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06038A4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15.3如一个分包内包含多种产品的，采购人或采购代理机构将在采购需求中载明核心产品，多家投标人提供的核心产品品牌相同的，按第15.2款规定处理。</w:t>
      </w:r>
    </w:p>
    <w:p w14:paraId="50DC43F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4投标文件的澄清</w:t>
      </w:r>
    </w:p>
    <w:p w14:paraId="2D2959B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方式或通过电子邮箱（</w:t>
      </w:r>
      <w:r>
        <w:rPr>
          <w:rFonts w:hint="eastAsia" w:ascii="宋体" w:hAnsi="宋体" w:eastAsia="宋体"/>
          <w:color w:val="auto"/>
          <w:sz w:val="24"/>
          <w:highlight w:val="none"/>
          <w:lang w:eastAsia="zh-CN"/>
        </w:rPr>
        <w:t>1225240102</w:t>
      </w:r>
      <w:r>
        <w:rPr>
          <w:rFonts w:hint="eastAsia" w:ascii="宋体" w:hAnsi="宋体" w:eastAsia="宋体"/>
          <w:color w:val="auto"/>
          <w:sz w:val="24"/>
          <w:highlight w:val="none"/>
        </w:rPr>
        <w:t>@qq.com）方式</w:t>
      </w:r>
      <w:r>
        <w:rPr>
          <w:rFonts w:ascii="宋体" w:hAnsi="宋体" w:eastAsia="宋体"/>
          <w:color w:val="auto"/>
          <w:sz w:val="24"/>
          <w:highlight w:val="none"/>
        </w:rPr>
        <w:t>进行，并不得超出投标文件范围或者改变投标文件的实质性内容。</w:t>
      </w:r>
    </w:p>
    <w:p w14:paraId="26629CC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3025C1C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3387EBA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15.3</w:t>
      </w:r>
      <w:r>
        <w:rPr>
          <w:rFonts w:ascii="宋体" w:hAnsi="宋体" w:eastAsia="宋体"/>
          <w:color w:val="auto"/>
          <w:sz w:val="24"/>
          <w:highlight w:val="none"/>
        </w:rPr>
        <w:t>投标文件报价出现前后不一致的，按照下列规定修正：</w:t>
      </w:r>
    </w:p>
    <w:p w14:paraId="00691369">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A1A422A">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C6926BE">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0014F3">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03308486">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w:t>
      </w:r>
      <w:r>
        <w:rPr>
          <w:rFonts w:hint="eastAsia" w:ascii="宋体" w:hAnsi="宋体" w:eastAsia="宋体"/>
          <w:color w:val="auto"/>
          <w:sz w:val="24"/>
          <w:highlight w:val="none"/>
        </w:rPr>
        <w:t>无论投标人是接受或是拒绝调整后的价格，都应当由投标人在系统中确认。投标人拒绝对投标文件出现的错漏按上述原则进行修正、澄清、说明，其投标将被认定为投标无效。</w:t>
      </w:r>
    </w:p>
    <w:p w14:paraId="7758BEC6">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229BB7A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4AE2617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9C197C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42E871B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6A5EDA0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3DE73D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180ED54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0C18B3E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ABB483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DCF2E64">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4033913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1555B6C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17.1经符合性审查合格的投标文件，评标委员会将根据招标文件确定的评标方法和标准，对其投标文件作进一步的比较与评价。</w:t>
      </w:r>
    </w:p>
    <w:p w14:paraId="1451D00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21A761CF">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D6008EF">
      <w:pPr>
        <w:spacing w:line="360" w:lineRule="auto"/>
        <w:ind w:firstLine="435"/>
        <w:rPr>
          <w:rFonts w:hint="eastAsia" w:ascii="宋体" w:hAnsi="宋体" w:eastAsia="宋体"/>
          <w:color w:val="auto"/>
          <w:sz w:val="24"/>
          <w:highlight w:val="none"/>
        </w:rPr>
      </w:pPr>
      <w:r>
        <w:rPr>
          <w:rFonts w:hint="eastAsia" w:ascii="宋体" w:hAnsi="宋体" w:eastAsia="宋体"/>
          <w:b/>
          <w:bCs/>
          <w:color w:val="auto"/>
          <w:sz w:val="24"/>
          <w:highlight w:val="none"/>
        </w:rPr>
        <w:t>（2）综合评分法</w:t>
      </w:r>
      <w:r>
        <w:rPr>
          <w:rFonts w:hint="eastAsia" w:ascii="宋体" w:hAnsi="宋体" w:eastAsia="宋体"/>
          <w:color w:val="auto"/>
          <w:sz w:val="24"/>
          <w:highlight w:val="none"/>
        </w:rPr>
        <w:t>，是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331CB1C5">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w:t>
      </w:r>
    </w:p>
    <w:p w14:paraId="6EDC9D1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20847DD6">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5DC50F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01BB00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013C1C1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22B03B7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18.2本单位限额以下采用公开招标的项目，投标截止后投标人不足3家或者通过资格审查或符合性审查的投标人不足3家的，除采购任务取消情形外，按照以下方式处理：</w:t>
      </w:r>
    </w:p>
    <w:p w14:paraId="11FB41B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（1）招标文件存在不合理条款或者招标程序不符合规定的，采购人、采购代理机构改正后依规重新招标；</w:t>
      </w:r>
    </w:p>
    <w:p w14:paraId="43B0BA9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招标文件没有不合理条款、招标程序符合规定，招标过程中经过二次挂网提交投标文件或者经评审实质性响应招标文件要求的供应商只有两家时，可转为竞争性谈判（符合本条情形的供应商最低数量可以为两家）；</w:t>
      </w:r>
    </w:p>
    <w:p w14:paraId="6E52DF5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4EC95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590275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364208C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E5686FE">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78857E8F">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采用综合评分法的，评标结果按评审后得分由高到低顺序排列。得分相同的，按投标报价由低到高顺序排列。得分与投标报价均相同的，则采取评标委员会随机抽取的方式确定中标候选顺序。</w:t>
      </w:r>
    </w:p>
    <w:p w14:paraId="34552E4F">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2DE5801">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6E2E6E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29C0B27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08A44F5">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38455C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6DB86E9">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D38DC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4F221B7">
      <w:pPr>
        <w:spacing w:line="360" w:lineRule="auto"/>
        <w:ind w:firstLine="435"/>
        <w:rPr>
          <w:rFonts w:hint="eastAsia"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自中标人确定之日起2个工作日内，采购代理机构将在滁州市第一人民医院网</w:t>
      </w:r>
      <w:r>
        <w:rPr>
          <w:rFonts w:hint="eastAsia" w:ascii="宋体" w:hAnsi="宋体" w:eastAsia="宋体" w:cs="宋体"/>
          <w:color w:val="auto"/>
          <w:sz w:val="24"/>
          <w:szCs w:val="24"/>
          <w:highlight w:val="none"/>
        </w:rPr>
        <w:t>（http://www.czdyrmyy.com/index.asp）</w:t>
      </w:r>
      <w:r>
        <w:rPr>
          <w:rFonts w:hint="eastAsia" w:ascii="宋体" w:hAnsi="宋体" w:eastAsia="宋体"/>
          <w:color w:val="auto"/>
          <w:sz w:val="24"/>
          <w:szCs w:val="18"/>
          <w:highlight w:val="none"/>
        </w:rPr>
        <w:t>上发布中标结果公告。</w:t>
      </w:r>
    </w:p>
    <w:p w14:paraId="08046C4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w:t>
      </w:r>
      <w:r>
        <w:rPr>
          <w:rFonts w:hint="eastAsia" w:asciiTheme="minorEastAsia" w:hAnsiTheme="minorEastAsia" w:eastAsiaTheme="minorEastAsia"/>
          <w:color w:val="auto"/>
          <w:sz w:val="24"/>
          <w:highlight w:val="none"/>
        </w:rPr>
        <w:t>品牌（如有）</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规格型号</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数量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单价</w:t>
      </w:r>
      <w:r>
        <w:rPr>
          <w:rFonts w:asciiTheme="minorEastAsia" w:hAnsiTheme="minorEastAsia" w:eastAsiaTheme="minorEastAsia"/>
          <w:color w:val="auto"/>
          <w:sz w:val="24"/>
          <w:highlight w:val="none"/>
        </w:rPr>
        <w:t>，中标公告期限以及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2CBBCBDF">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3B88F431">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r>
        <w:rPr>
          <w:rFonts w:hint="eastAsia" w:asciiTheme="minorEastAsia" w:hAnsiTheme="minorEastAsia" w:eastAsiaTheme="minorEastAsia"/>
          <w:color w:val="auto"/>
          <w:sz w:val="24"/>
          <w:highlight w:val="none"/>
        </w:rPr>
        <w:t>中标通知书须加盖采购人、采购代理机构公章后，方可发出。</w:t>
      </w:r>
    </w:p>
    <w:p w14:paraId="100CCEE6">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566A11E3">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3E3D247B">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4AAD558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76B7FE6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0BA6A84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391975D">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536884C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6BBAB6C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750222F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6E044C8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411FA9D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76C363F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40DFB44E">
      <w:pPr>
        <w:spacing w:line="360" w:lineRule="auto"/>
        <w:ind w:firstLine="437"/>
        <w:outlineLvl w:val="2"/>
        <w:rPr>
          <w:rFonts w:hint="eastAsia" w:asciiTheme="minorEastAsia" w:hAnsiTheme="minorEastAsia" w:eastAsiaTheme="minorEastAsia"/>
          <w:b/>
          <w:color w:val="auto"/>
          <w:sz w:val="24"/>
          <w:highlight w:val="none"/>
        </w:rPr>
      </w:pPr>
      <w:bookmarkStart w:id="49" w:name="_Toc2583661"/>
      <w:bookmarkStart w:id="50"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49"/>
      <w:bookmarkEnd w:id="50"/>
    </w:p>
    <w:p w14:paraId="6114F49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7BF93AE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35559CE">
      <w:pPr>
        <w:spacing w:line="360" w:lineRule="auto"/>
        <w:ind w:firstLine="437"/>
        <w:outlineLvl w:val="2"/>
        <w:rPr>
          <w:rFonts w:hint="eastAsia" w:asciiTheme="minorEastAsia" w:hAnsiTheme="minorEastAsia" w:eastAsiaTheme="minorEastAsia"/>
          <w:b/>
          <w:color w:val="auto"/>
          <w:sz w:val="24"/>
          <w:highlight w:val="none"/>
        </w:rPr>
      </w:pPr>
      <w:bookmarkStart w:id="51" w:name="_Toc2583662"/>
      <w:bookmarkStart w:id="52" w:name="_Toc518923101"/>
      <w:r>
        <w:rPr>
          <w:rFonts w:hint="eastAsia" w:asciiTheme="minorEastAsia" w:hAnsiTheme="minorEastAsia" w:eastAsiaTheme="minorEastAsia"/>
          <w:b/>
          <w:color w:val="auto"/>
          <w:sz w:val="24"/>
          <w:highlight w:val="none"/>
        </w:rPr>
        <w:t>30.人员回避</w:t>
      </w:r>
      <w:bookmarkEnd w:id="51"/>
      <w:bookmarkEnd w:id="52"/>
    </w:p>
    <w:p w14:paraId="1C62FBFF">
      <w:pPr>
        <w:spacing w:line="360" w:lineRule="auto"/>
        <w:ind w:firstLine="435"/>
        <w:rPr>
          <w:rFonts w:hint="eastAsia"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1C6A160B">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CDC648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1E08B82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F8C88D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5D6AFC3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31.4采购人或采购代理机构在收到投标人的质疑函后，将审查质疑函的格式、内容以及所附的证明文件是否符合要求。如不符合，说明原因退回投标人；如符合要求，则接受该质疑函。投标人对评审过程、中标（成交）结果提出质疑的，采购人、采购代理机构可以组织原评标委员会协助答复质疑。处理质疑的时间，从实际接受投标人质疑函的时间开始计算。</w:t>
      </w:r>
    </w:p>
    <w:p w14:paraId="6C5BC9B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85545B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A617DF1">
      <w:pPr>
        <w:widowControl/>
        <w:jc w:val="left"/>
        <w:rPr>
          <w:rFonts w:hint="eastAsia"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292939F4">
      <w:pPr>
        <w:spacing w:line="360" w:lineRule="auto"/>
        <w:jc w:val="center"/>
        <w:outlineLvl w:val="0"/>
        <w:rPr>
          <w:rFonts w:hint="eastAsia" w:asciiTheme="minorEastAsia" w:hAnsiTheme="minorEastAsia" w:eastAsiaTheme="minorEastAsia"/>
          <w:b/>
          <w:color w:val="auto"/>
          <w:sz w:val="28"/>
          <w:highlight w:val="none"/>
        </w:rPr>
      </w:pPr>
      <w:bookmarkStart w:id="53" w:name="_Toc31214"/>
      <w:r>
        <w:rPr>
          <w:rFonts w:hint="eastAsia" w:asciiTheme="minorEastAsia" w:hAnsiTheme="minorEastAsia" w:eastAsiaTheme="minorEastAsia"/>
          <w:b/>
          <w:color w:val="auto"/>
          <w:sz w:val="28"/>
          <w:highlight w:val="none"/>
        </w:rPr>
        <w:t>第三章  采购需求</w:t>
      </w:r>
      <w:bookmarkEnd w:id="53"/>
    </w:p>
    <w:p w14:paraId="27373FD7">
      <w:pPr>
        <w:keepNext w:val="0"/>
        <w:keepLines w:val="0"/>
        <w:pageBreakBefore w:val="0"/>
        <w:widowControl w:val="0"/>
        <w:kinsoku/>
        <w:overflowPunct/>
        <w:topLinePunct w:val="0"/>
        <w:autoSpaceDE/>
        <w:autoSpaceDN/>
        <w:bidi w:val="0"/>
        <w:adjustRightInd/>
        <w:snapToGrid/>
        <w:spacing w:line="400" w:lineRule="exact"/>
        <w:ind w:firstLine="437"/>
        <w:textAlignment w:val="auto"/>
        <w:outlineLvl w:val="1"/>
        <w:rPr>
          <w:rFonts w:hint="eastAsia" w:ascii="宋体" w:hAnsi="宋体" w:eastAsia="宋体"/>
          <w:b/>
          <w:color w:val="auto"/>
          <w:sz w:val="24"/>
          <w:szCs w:val="18"/>
          <w:highlight w:val="none"/>
        </w:rPr>
      </w:pPr>
      <w:bookmarkStart w:id="54" w:name="_Toc2554"/>
      <w:bookmarkStart w:id="55" w:name="_Toc32151"/>
      <w:bookmarkStart w:id="56" w:name="_Toc27495"/>
      <w:r>
        <w:rPr>
          <w:rFonts w:hint="eastAsia" w:ascii="宋体" w:hAnsi="宋体" w:eastAsia="宋体"/>
          <w:b/>
          <w:color w:val="auto"/>
          <w:sz w:val="24"/>
          <w:szCs w:val="18"/>
          <w:highlight w:val="none"/>
        </w:rPr>
        <w:t>一、采购需求前附表</w:t>
      </w:r>
      <w:bookmarkEnd w:id="54"/>
      <w:bookmarkEnd w:id="55"/>
      <w:bookmarkEnd w:id="56"/>
    </w:p>
    <w:tbl>
      <w:tblPr>
        <w:tblStyle w:val="27"/>
        <w:tblW w:w="52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125"/>
        <w:gridCol w:w="6039"/>
      </w:tblGrid>
      <w:tr w14:paraId="2D94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2" w:type="pct"/>
            <w:vAlign w:val="center"/>
          </w:tcPr>
          <w:p w14:paraId="0D98E583">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rPr>
                <w:rFonts w:hint="eastAsia" w:ascii="宋体" w:hAnsi="宋体" w:eastAsia="宋体"/>
                <w:b/>
                <w:color w:val="auto"/>
                <w:kern w:val="2"/>
                <w:highlight w:val="none"/>
              </w:rPr>
            </w:pPr>
            <w:r>
              <w:rPr>
                <w:rFonts w:hint="eastAsia" w:ascii="宋体" w:hAnsi="宋体" w:eastAsia="宋体"/>
                <w:b/>
                <w:color w:val="auto"/>
                <w:kern w:val="2"/>
                <w:highlight w:val="none"/>
              </w:rPr>
              <w:t>序号</w:t>
            </w:r>
          </w:p>
        </w:tc>
        <w:tc>
          <w:tcPr>
            <w:tcW w:w="1191" w:type="pct"/>
            <w:vAlign w:val="center"/>
          </w:tcPr>
          <w:p w14:paraId="3DA9943A">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385" w:type="pct"/>
            <w:vAlign w:val="center"/>
          </w:tcPr>
          <w:p w14:paraId="2DA85368">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7F75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422" w:type="pct"/>
            <w:vAlign w:val="center"/>
          </w:tcPr>
          <w:p w14:paraId="36945842">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w:t>
            </w:r>
          </w:p>
        </w:tc>
        <w:tc>
          <w:tcPr>
            <w:tcW w:w="1191" w:type="pct"/>
            <w:vAlign w:val="center"/>
          </w:tcPr>
          <w:p w14:paraId="740A9A50">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付款方式</w:t>
            </w:r>
          </w:p>
        </w:tc>
        <w:tc>
          <w:tcPr>
            <w:tcW w:w="3385" w:type="pct"/>
            <w:vAlign w:val="center"/>
          </w:tcPr>
          <w:p w14:paraId="7411E4A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default" w:ascii="宋体" w:hAnsi="宋体" w:eastAsia="仿宋"/>
                <w:b w:val="0"/>
                <w:color w:val="auto"/>
                <w:sz w:val="24"/>
                <w:szCs w:val="20"/>
                <w:highlight w:val="none"/>
                <w:u w:val="single"/>
                <w:lang w:val="en-US"/>
              </w:rPr>
            </w:pPr>
            <w:r>
              <w:rPr>
                <w:rFonts w:hint="eastAsia" w:ascii="宋体" w:hAnsi="宋体" w:eastAsia="宋体"/>
                <w:b/>
                <w:bCs w:val="0"/>
                <w:color w:val="auto"/>
                <w:kern w:val="0"/>
                <w:sz w:val="24"/>
                <w:szCs w:val="28"/>
                <w:highlight w:val="none"/>
              </w:rPr>
              <w:t>系统上线经</w:t>
            </w:r>
            <w:r>
              <w:rPr>
                <w:rFonts w:hint="eastAsia" w:ascii="宋体" w:hAnsi="宋体" w:eastAsia="宋体"/>
                <w:b/>
                <w:bCs w:val="0"/>
                <w:color w:val="auto"/>
                <w:kern w:val="0"/>
                <w:sz w:val="24"/>
                <w:szCs w:val="28"/>
                <w:highlight w:val="none"/>
                <w:lang w:val="en-US" w:eastAsia="zh-CN"/>
              </w:rPr>
              <w:t>采购人</w:t>
            </w:r>
            <w:r>
              <w:rPr>
                <w:rFonts w:hint="eastAsia" w:ascii="宋体" w:hAnsi="宋体" w:eastAsia="宋体"/>
                <w:b/>
                <w:bCs w:val="0"/>
                <w:color w:val="auto"/>
                <w:kern w:val="0"/>
                <w:sz w:val="24"/>
                <w:szCs w:val="28"/>
                <w:highlight w:val="none"/>
              </w:rPr>
              <w:t>确认后，</w:t>
            </w:r>
            <w:r>
              <w:rPr>
                <w:rFonts w:hint="eastAsia" w:ascii="宋体" w:hAnsi="宋体" w:eastAsia="宋体"/>
                <w:b/>
                <w:bCs w:val="0"/>
                <w:color w:val="auto"/>
                <w:kern w:val="0"/>
                <w:sz w:val="24"/>
                <w:szCs w:val="28"/>
                <w:highlight w:val="none"/>
                <w:lang w:val="en-US" w:eastAsia="zh-CN"/>
              </w:rPr>
              <w:t>采购人</w:t>
            </w:r>
            <w:r>
              <w:rPr>
                <w:rFonts w:hint="eastAsia" w:ascii="宋体" w:hAnsi="宋体" w:eastAsia="宋体"/>
                <w:b/>
                <w:bCs w:val="0"/>
                <w:color w:val="auto"/>
                <w:kern w:val="0"/>
                <w:sz w:val="24"/>
                <w:szCs w:val="28"/>
                <w:highlight w:val="none"/>
              </w:rPr>
              <w:t>向</w:t>
            </w:r>
            <w:r>
              <w:rPr>
                <w:rFonts w:hint="eastAsia" w:ascii="宋体" w:hAnsi="宋体" w:eastAsia="宋体"/>
                <w:b/>
                <w:bCs w:val="0"/>
                <w:color w:val="auto"/>
                <w:kern w:val="0"/>
                <w:sz w:val="24"/>
                <w:szCs w:val="28"/>
                <w:highlight w:val="none"/>
                <w:lang w:val="en-US" w:eastAsia="zh-CN"/>
              </w:rPr>
              <w:t>中标人</w:t>
            </w:r>
            <w:r>
              <w:rPr>
                <w:rFonts w:hint="eastAsia" w:ascii="宋体" w:hAnsi="宋体" w:eastAsia="宋体"/>
                <w:b/>
                <w:bCs w:val="0"/>
                <w:color w:val="auto"/>
                <w:kern w:val="0"/>
                <w:sz w:val="24"/>
                <w:szCs w:val="28"/>
                <w:highlight w:val="none"/>
              </w:rPr>
              <w:t>支付合同总额的40%；经</w:t>
            </w:r>
            <w:r>
              <w:rPr>
                <w:rFonts w:hint="eastAsia" w:ascii="宋体" w:hAnsi="宋体" w:eastAsia="宋体"/>
                <w:b/>
                <w:bCs w:val="0"/>
                <w:color w:val="auto"/>
                <w:kern w:val="0"/>
                <w:sz w:val="24"/>
                <w:szCs w:val="28"/>
                <w:highlight w:val="none"/>
                <w:lang w:val="en-US" w:eastAsia="zh-CN"/>
              </w:rPr>
              <w:t>采购人</w:t>
            </w:r>
            <w:r>
              <w:rPr>
                <w:rFonts w:hint="eastAsia" w:ascii="宋体" w:hAnsi="宋体" w:eastAsia="宋体"/>
                <w:b/>
                <w:bCs w:val="0"/>
                <w:color w:val="auto"/>
                <w:kern w:val="0"/>
                <w:sz w:val="24"/>
                <w:szCs w:val="28"/>
                <w:highlight w:val="none"/>
              </w:rPr>
              <w:t>验收合格后，</w:t>
            </w:r>
            <w:r>
              <w:rPr>
                <w:rFonts w:hint="eastAsia" w:ascii="宋体" w:hAnsi="宋体" w:eastAsia="宋体"/>
                <w:b/>
                <w:bCs w:val="0"/>
                <w:color w:val="auto"/>
                <w:kern w:val="0"/>
                <w:sz w:val="24"/>
                <w:szCs w:val="28"/>
                <w:highlight w:val="none"/>
                <w:lang w:val="en-US" w:eastAsia="zh-CN"/>
              </w:rPr>
              <w:t>采购人</w:t>
            </w:r>
            <w:r>
              <w:rPr>
                <w:rFonts w:hint="eastAsia" w:ascii="宋体" w:hAnsi="宋体" w:eastAsia="宋体"/>
                <w:b/>
                <w:bCs w:val="0"/>
                <w:color w:val="auto"/>
                <w:kern w:val="0"/>
                <w:sz w:val="24"/>
                <w:szCs w:val="28"/>
                <w:highlight w:val="none"/>
              </w:rPr>
              <w:t>向</w:t>
            </w:r>
            <w:r>
              <w:rPr>
                <w:rFonts w:hint="eastAsia" w:ascii="宋体" w:hAnsi="宋体" w:eastAsia="宋体"/>
                <w:b/>
                <w:bCs w:val="0"/>
                <w:color w:val="auto"/>
                <w:kern w:val="0"/>
                <w:sz w:val="24"/>
                <w:szCs w:val="28"/>
                <w:highlight w:val="none"/>
                <w:lang w:val="en-US" w:eastAsia="zh-CN"/>
              </w:rPr>
              <w:t>中标人</w:t>
            </w:r>
            <w:r>
              <w:rPr>
                <w:rFonts w:hint="eastAsia" w:ascii="宋体" w:hAnsi="宋体" w:eastAsia="宋体"/>
                <w:b/>
                <w:bCs w:val="0"/>
                <w:color w:val="auto"/>
                <w:kern w:val="0"/>
                <w:sz w:val="24"/>
                <w:szCs w:val="28"/>
                <w:highlight w:val="none"/>
              </w:rPr>
              <w:t>支付合同总额的</w:t>
            </w:r>
            <w:r>
              <w:rPr>
                <w:rFonts w:hint="eastAsia" w:ascii="宋体" w:hAnsi="宋体" w:eastAsia="宋体"/>
                <w:b/>
                <w:bCs w:val="0"/>
                <w:color w:val="auto"/>
                <w:kern w:val="0"/>
                <w:sz w:val="24"/>
                <w:szCs w:val="28"/>
                <w:highlight w:val="none"/>
                <w:lang w:val="en-US" w:eastAsia="zh-CN"/>
              </w:rPr>
              <w:t>60</w:t>
            </w:r>
            <w:r>
              <w:rPr>
                <w:rFonts w:hint="eastAsia" w:ascii="宋体" w:hAnsi="宋体" w:eastAsia="宋体"/>
                <w:b/>
                <w:bCs w:val="0"/>
                <w:color w:val="auto"/>
                <w:kern w:val="0"/>
                <w:sz w:val="24"/>
                <w:szCs w:val="28"/>
                <w:highlight w:val="none"/>
              </w:rPr>
              <w:t>%；</w:t>
            </w:r>
          </w:p>
        </w:tc>
      </w:tr>
      <w:tr w14:paraId="269B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2" w:type="pct"/>
            <w:vAlign w:val="center"/>
          </w:tcPr>
          <w:p w14:paraId="654CF623">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w:t>
            </w:r>
          </w:p>
        </w:tc>
        <w:tc>
          <w:tcPr>
            <w:tcW w:w="1191" w:type="pct"/>
            <w:vAlign w:val="center"/>
          </w:tcPr>
          <w:p w14:paraId="548B7EF2">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供货及安装地点</w:t>
            </w:r>
          </w:p>
        </w:tc>
        <w:tc>
          <w:tcPr>
            <w:tcW w:w="3385" w:type="pct"/>
            <w:vAlign w:val="center"/>
          </w:tcPr>
          <w:p w14:paraId="0691E8C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bCs/>
                <w:color w:val="auto"/>
                <w:kern w:val="0"/>
                <w:sz w:val="24"/>
                <w:szCs w:val="28"/>
                <w:highlight w:val="none"/>
              </w:rPr>
            </w:pPr>
            <w:r>
              <w:rPr>
                <w:rFonts w:hint="eastAsia" w:ascii="宋体" w:hAnsi="宋体" w:eastAsia="宋体"/>
                <w:b/>
                <w:bCs w:val="0"/>
                <w:color w:val="auto"/>
                <w:kern w:val="0"/>
                <w:sz w:val="24"/>
                <w:szCs w:val="28"/>
                <w:highlight w:val="none"/>
              </w:rPr>
              <w:t>滁州市第一人民医院（采购人指定地点）</w:t>
            </w:r>
          </w:p>
        </w:tc>
      </w:tr>
      <w:tr w14:paraId="569F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422" w:type="pct"/>
            <w:vAlign w:val="center"/>
          </w:tcPr>
          <w:p w14:paraId="41F29315">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w:t>
            </w:r>
          </w:p>
        </w:tc>
        <w:tc>
          <w:tcPr>
            <w:tcW w:w="1191" w:type="pct"/>
            <w:vAlign w:val="center"/>
          </w:tcPr>
          <w:p w14:paraId="120173F5">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供货及安装期限</w:t>
            </w:r>
          </w:p>
        </w:tc>
        <w:tc>
          <w:tcPr>
            <w:tcW w:w="3385" w:type="pct"/>
            <w:vAlign w:val="center"/>
          </w:tcPr>
          <w:p w14:paraId="5CCA43F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default" w:ascii="宋体" w:hAnsi="宋体" w:eastAsia="宋体"/>
                <w:bCs/>
                <w:color w:val="auto"/>
                <w:kern w:val="0"/>
                <w:sz w:val="24"/>
                <w:szCs w:val="28"/>
                <w:highlight w:val="none"/>
                <w:lang w:val="en-US" w:eastAsia="zh-CN"/>
              </w:rPr>
            </w:pPr>
            <w:r>
              <w:rPr>
                <w:rFonts w:hint="eastAsia" w:cs="Arial" w:asciiTheme="majorEastAsia" w:hAnsiTheme="majorEastAsia" w:eastAsiaTheme="majorEastAsia"/>
                <w:b/>
                <w:bCs/>
                <w:color w:val="auto"/>
                <w:kern w:val="2"/>
                <w:sz w:val="24"/>
                <w:szCs w:val="32"/>
                <w:highlight w:val="none"/>
                <w:lang w:val="en-US" w:eastAsia="zh-CN" w:bidi="ar-SA"/>
              </w:rPr>
              <w:t>合同签订后3个月内完成</w:t>
            </w:r>
          </w:p>
        </w:tc>
      </w:tr>
      <w:tr w14:paraId="7826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22" w:type="pct"/>
            <w:vAlign w:val="center"/>
          </w:tcPr>
          <w:p w14:paraId="2ED26071">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rPr>
                <w:rFonts w:hint="eastAsia" w:ascii="宋体" w:hAnsi="宋体" w:eastAsia="宋体"/>
                <w:bCs/>
                <w:color w:val="auto"/>
                <w:kern w:val="2"/>
                <w:highlight w:val="none"/>
              </w:rPr>
            </w:pPr>
            <w:bookmarkStart w:id="57" w:name="_Toc4843"/>
            <w:bookmarkStart w:id="58" w:name="_Toc7421"/>
            <w:r>
              <w:rPr>
                <w:rFonts w:hint="eastAsia" w:ascii="宋体" w:hAnsi="宋体" w:eastAsia="宋体"/>
                <w:bCs/>
                <w:color w:val="auto"/>
                <w:kern w:val="2"/>
                <w:highlight w:val="none"/>
              </w:rPr>
              <w:t>4</w:t>
            </w:r>
          </w:p>
        </w:tc>
        <w:tc>
          <w:tcPr>
            <w:tcW w:w="1191" w:type="pct"/>
            <w:vAlign w:val="center"/>
          </w:tcPr>
          <w:p w14:paraId="57CAAD16">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cs="Arial" w:asciiTheme="majorEastAsia" w:hAnsiTheme="majorEastAsia" w:eastAsiaTheme="majorEastAsia"/>
                <w:b/>
                <w:bCs/>
                <w:color w:val="auto"/>
                <w:kern w:val="2"/>
                <w:sz w:val="24"/>
                <w:szCs w:val="32"/>
                <w:highlight w:val="none"/>
                <w:lang w:val="en-US" w:eastAsia="zh-CN" w:bidi="ar-SA"/>
              </w:rPr>
            </w:pPr>
            <w:r>
              <w:rPr>
                <w:rFonts w:hint="eastAsia" w:cs="Arial" w:asciiTheme="majorEastAsia" w:hAnsiTheme="majorEastAsia" w:eastAsiaTheme="majorEastAsia"/>
                <w:b/>
                <w:bCs/>
                <w:color w:val="auto"/>
                <w:kern w:val="2"/>
                <w:sz w:val="24"/>
                <w:szCs w:val="32"/>
                <w:highlight w:val="none"/>
                <w:lang w:val="en-US" w:eastAsia="zh-CN" w:bidi="ar-SA"/>
              </w:rPr>
              <w:t>免费质保期限</w:t>
            </w:r>
          </w:p>
        </w:tc>
        <w:tc>
          <w:tcPr>
            <w:tcW w:w="3385" w:type="pct"/>
            <w:vAlign w:val="center"/>
          </w:tcPr>
          <w:p w14:paraId="25A01B1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cs="Arial" w:asciiTheme="majorEastAsia" w:hAnsiTheme="majorEastAsia" w:eastAsiaTheme="majorEastAsia"/>
                <w:b/>
                <w:bCs/>
                <w:color w:val="auto"/>
                <w:kern w:val="2"/>
                <w:sz w:val="24"/>
                <w:szCs w:val="32"/>
                <w:highlight w:val="none"/>
                <w:lang w:val="en-US" w:eastAsia="zh-CN" w:bidi="ar-SA"/>
              </w:rPr>
            </w:pPr>
            <w:r>
              <w:rPr>
                <w:rFonts w:hint="eastAsia" w:ascii="宋体" w:hAnsi="宋体" w:eastAsia="宋体"/>
                <w:b/>
                <w:bCs w:val="0"/>
                <w:color w:val="auto"/>
                <w:kern w:val="0"/>
                <w:sz w:val="24"/>
                <w:szCs w:val="28"/>
                <w:highlight w:val="none"/>
                <w:lang w:val="en-US" w:eastAsia="zh-CN"/>
              </w:rPr>
              <w:t>本项目系统质保期限为3年，质保期内厂家提供免费完整运维服务。质保期满后，常规系统维保、日常技术支持、故障应急响应、系统基础功能迭代升级等服务均免费提供。我院开展大型技能竞赛、专项考试、大型教学演练等特殊场景，需厂家安排技术人员到场提供专项现场技术支持时，可按照2000元/人/日的标准据实结算服务费用，无其他隐形收费、固定收费”</w:t>
            </w:r>
          </w:p>
        </w:tc>
      </w:tr>
      <w:bookmarkEnd w:id="57"/>
      <w:bookmarkEnd w:id="58"/>
    </w:tbl>
    <w:p w14:paraId="5ADFED5F">
      <w:pPr>
        <w:keepNext w:val="0"/>
        <w:keepLines w:val="0"/>
        <w:pageBreakBefore w:val="0"/>
        <w:widowControl w:val="0"/>
        <w:numPr>
          <w:ilvl w:val="0"/>
          <w:numId w:val="0"/>
        </w:numPr>
        <w:kinsoku/>
        <w:overflowPunct/>
        <w:topLinePunct w:val="0"/>
        <w:autoSpaceDE/>
        <w:autoSpaceDN/>
        <w:bidi w:val="0"/>
        <w:adjustRightInd/>
        <w:snapToGrid/>
        <w:spacing w:line="400" w:lineRule="exact"/>
        <w:ind w:firstLine="482" w:firstLineChars="200"/>
        <w:textAlignment w:val="auto"/>
        <w:rPr>
          <w:rFonts w:hint="eastAsia" w:ascii="宋体" w:hAnsi="宋体" w:eastAsia="宋体"/>
          <w:b/>
          <w:color w:val="auto"/>
          <w:sz w:val="24"/>
          <w:szCs w:val="18"/>
          <w:highlight w:val="none"/>
        </w:rPr>
      </w:pPr>
      <w:r>
        <w:rPr>
          <w:rFonts w:hint="eastAsia" w:ascii="宋体" w:hAnsi="宋体" w:eastAsia="宋体" w:cs="@仿宋_GB2312"/>
          <w:b/>
          <w:color w:val="auto"/>
          <w:kern w:val="2"/>
          <w:sz w:val="24"/>
          <w:szCs w:val="18"/>
          <w:highlight w:val="none"/>
          <w:lang w:val="en-US" w:eastAsia="zh-CN" w:bidi="ar-SA"/>
        </w:rPr>
        <w:t>二、</w:t>
      </w:r>
      <w:r>
        <w:rPr>
          <w:rFonts w:hint="eastAsia" w:ascii="宋体" w:hAnsi="宋体" w:eastAsia="宋体"/>
          <w:b/>
          <w:color w:val="auto"/>
          <w:sz w:val="24"/>
          <w:szCs w:val="18"/>
          <w:highlight w:val="none"/>
        </w:rPr>
        <w:t>采购项目需求概况</w:t>
      </w:r>
    </w:p>
    <w:p w14:paraId="691C73F1">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滁州市第一人民医院临床思维训练系统项目是专为医学领域打造的一款辅助规培医生、实习医生以及在职医生提升临床思维能力的软件系统。它通过模拟真实临床场景，为使用者提供沉浸式的训练环境，让其在虚拟情境中锻炼从患者症状分析、诊断推理到治疗方案制定等一系列临床思维技能，帮助医生提高临床决策的准确性和效率，减少医疗差错，最终提升整体医疗服务质量。</w:t>
      </w:r>
    </w:p>
    <w:p w14:paraId="2F65AF58">
      <w:pPr>
        <w:keepNext w:val="0"/>
        <w:keepLines w:val="0"/>
        <w:pageBreakBefore w:val="0"/>
        <w:widowControl w:val="0"/>
        <w:numPr>
          <w:ilvl w:val="0"/>
          <w:numId w:val="0"/>
        </w:numPr>
        <w:kinsoku/>
        <w:overflowPunct/>
        <w:topLinePunct w:val="0"/>
        <w:autoSpaceDE/>
        <w:autoSpaceDN/>
        <w:bidi w:val="0"/>
        <w:adjustRightInd/>
        <w:snapToGrid/>
        <w:spacing w:line="400" w:lineRule="exact"/>
        <w:ind w:firstLine="482" w:firstLineChars="200"/>
        <w:textAlignment w:val="auto"/>
        <w:rPr>
          <w:rFonts w:hint="eastAsia" w:ascii="仿宋" w:hAnsi="仿宋" w:eastAsia="仿宋" w:cs="仿宋"/>
          <w:color w:val="auto"/>
          <w:sz w:val="24"/>
          <w:szCs w:val="24"/>
          <w:highlight w:val="none"/>
          <w:lang w:val="en-US" w:eastAsia="zh-CN"/>
        </w:rPr>
      </w:pPr>
      <w:r>
        <w:rPr>
          <w:rFonts w:hint="eastAsia" w:ascii="宋体" w:hAnsi="宋体" w:eastAsia="宋体"/>
          <w:b/>
          <w:color w:val="auto"/>
          <w:sz w:val="24"/>
          <w:szCs w:val="18"/>
          <w:highlight w:val="none"/>
          <w:lang w:val="en-US" w:eastAsia="zh-CN"/>
        </w:rPr>
        <w:t>三、</w:t>
      </w:r>
      <w:r>
        <w:rPr>
          <w:rFonts w:hint="eastAsia" w:ascii="宋体" w:hAnsi="宋体" w:eastAsia="宋体"/>
          <w:b/>
          <w:color w:val="auto"/>
          <w:sz w:val="24"/>
          <w:szCs w:val="18"/>
          <w:highlight w:val="none"/>
        </w:rPr>
        <w:t>技术参数</w:t>
      </w:r>
      <w:r>
        <w:rPr>
          <w:rFonts w:hint="eastAsia" w:ascii="宋体" w:hAnsi="宋体" w:eastAsia="宋体"/>
          <w:b/>
          <w:color w:val="auto"/>
          <w:sz w:val="24"/>
          <w:szCs w:val="18"/>
          <w:highlight w:val="none"/>
          <w:lang w:val="en-US" w:eastAsia="zh-CN"/>
        </w:rPr>
        <w:t>及</w:t>
      </w:r>
      <w:r>
        <w:rPr>
          <w:rFonts w:hint="eastAsia" w:ascii="宋体" w:hAnsi="宋体" w:eastAsia="宋体"/>
          <w:b/>
          <w:color w:val="auto"/>
          <w:sz w:val="24"/>
          <w:szCs w:val="18"/>
          <w:highlight w:val="none"/>
        </w:rPr>
        <w:t>要求</w:t>
      </w:r>
    </w:p>
    <w:p w14:paraId="5927DD65">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遵循《住院医师规范化培训内容与标准》（2022年版）要求，补充我院短缺病种案例，确保住培学员临床思维训练的全面性与针对性。</w:t>
      </w:r>
    </w:p>
    <w:p w14:paraId="571365C4">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一、系统基础配置</w:t>
      </w:r>
    </w:p>
    <w:p w14:paraId="7A1DC5BE">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1、系统架构</w:t>
      </w:r>
    </w:p>
    <w:p w14:paraId="60B14E8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1.1厂家需提供云端服务器，保障系统稳定性与安全性，无需医院专人维护及专用场地。</w:t>
      </w:r>
    </w:p>
    <w:p w14:paraId="4CC59461">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1.2系统基于B/S架构搭建，遵循Web2.0标准，运用 HTML、CSS 实现前端界面展示与交互，结合PHP技术实现后端逻辑处理与数据管理，支持跨平台使用。</w:t>
      </w:r>
    </w:p>
    <w:p w14:paraId="69AFA1F7">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2、多终端访问</w:t>
      </w:r>
    </w:p>
    <w:p w14:paraId="5EA57384">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 PC网页端：提供完整功能访问入口，适配主流浏览器。</w:t>
      </w:r>
    </w:p>
    <w:p w14:paraId="7B1354BF">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 移动APP端：针对 iOS 和 Android 系统分别开发部署，确保性能与稳定。</w:t>
      </w:r>
    </w:p>
    <w:p w14:paraId="0481B2EF">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 微信小程序：扫码或搜索快速进入，实现核心功能访问。</w:t>
      </w:r>
    </w:p>
    <w:p w14:paraId="1AB652DD">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二、机构与用户管理</w:t>
      </w:r>
    </w:p>
    <w:p w14:paraId="18AF834C">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1、机构管理</w:t>
      </w:r>
    </w:p>
    <w:p w14:paraId="311C2883">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1.1管理后台可设置机构信息，如医院名称、学校名称、机构简介等。</w:t>
      </w:r>
    </w:p>
    <w:p w14:paraId="3F8E3DA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1.2医院可配置医院科室、部门、岗位等标识，医学院可配置学校部门、岗位、子学院、教研室等标识。</w:t>
      </w:r>
    </w:p>
    <w:p w14:paraId="1542E56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1.3管理员可查看机构所有用户，可通过姓名、科室、部门等快速查找。</w:t>
      </w:r>
    </w:p>
    <w:p w14:paraId="513A71C5">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2、人员管理</w:t>
      </w:r>
    </w:p>
    <w:p w14:paraId="75A36AD3">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2.1可以自主添加或批量导入人员信息，通过身份类型、科室、专业、姓名、手机号、账户状态等单个或多个组合条件进行学员信息查询。</w:t>
      </w:r>
    </w:p>
    <w:p w14:paraId="06DFE9B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 可针对老师账号设置业务角色，开放对应业务功能。</w:t>
      </w:r>
    </w:p>
    <w:p w14:paraId="03B604D4">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 可导出人员EXCEL表单。</w:t>
      </w:r>
    </w:p>
    <w:p w14:paraId="2DCD177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 可维护和查看信息档案，含个人学习、考试、课堂记录。</w:t>
      </w:r>
    </w:p>
    <w:p w14:paraId="04437F15">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三、资源库管理</w:t>
      </w:r>
    </w:p>
    <w:p w14:paraId="3E779189">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1、案例资源管理</w:t>
      </w:r>
    </w:p>
    <w:p w14:paraId="17637F6F">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案例库配置不少于400份病例资源，包含单路径多病程病例、多路径多病程病例、CTA案例、增强现实AI诊疗案例等，可用于临床思维训练和考核。</w:t>
      </w:r>
    </w:p>
    <w:p w14:paraId="17DD709F">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★质保期内根据医院发展情况，可对已采购的病例资源的20%比例进行更换。</w:t>
      </w:r>
      <w:r>
        <w:rPr>
          <w:rFonts w:hint="eastAsia" w:ascii="宋体" w:hAnsi="宋体" w:eastAsia="宋体" w:cs="宋体"/>
          <w:b/>
          <w:bCs/>
          <w:color w:val="auto"/>
          <w:sz w:val="24"/>
          <w:szCs w:val="24"/>
          <w:highlight w:val="none"/>
          <w:lang w:val="en-US" w:eastAsia="zh-CN"/>
        </w:rPr>
        <w:t>（投标时提交承诺函）</w:t>
      </w:r>
    </w:p>
    <w:p w14:paraId="6EE98B7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1.1单路径多病程案例资源</w:t>
      </w:r>
    </w:p>
    <w:p w14:paraId="02BFD303">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厂家提供不少于800份单路径多病程完整案例进行案例选择。（同时包含问诊、查体、辅检、诊断、治疗）的清单提供选择，案例涵盖26个专科，包括但不限于儿科、儿外科、耳鼻喉科、风湿免疫科、妇产科、感染科、骨科、呼吸内科、急诊科、精神科、康复科、口腔科、泌尿外科、内分泌科、皮肤科、普外科、全科医学科、神经内科、神经外科、肾内科、消化内科、心血管内科、胸心外科、血液内科、眼科、重症医学科等专科。同一病种可提供多个不同并发症/病情的案例</w:t>
      </w:r>
      <w:r>
        <w:rPr>
          <w:rFonts w:hint="eastAsia" w:ascii="宋体" w:hAnsi="宋体" w:eastAsia="宋体" w:cs="宋体"/>
          <w:b/>
          <w:bCs/>
          <w:color w:val="auto"/>
          <w:sz w:val="24"/>
          <w:szCs w:val="24"/>
          <w:highlight w:val="none"/>
          <w:lang w:val="en-US" w:eastAsia="zh-CN"/>
        </w:rPr>
        <w:t>（投标时提供截图，截图能反映上述功能及数量）</w:t>
      </w:r>
    </w:p>
    <w:p w14:paraId="5E934EF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1.1.2▲每个案例支持10种及以上的案例训练模式。</w:t>
      </w:r>
      <w:r>
        <w:rPr>
          <w:rFonts w:hint="eastAsia" w:ascii="宋体" w:hAnsi="宋体" w:eastAsia="宋体" w:cs="宋体"/>
          <w:b/>
          <w:bCs/>
          <w:color w:val="auto"/>
          <w:sz w:val="24"/>
          <w:szCs w:val="24"/>
          <w:highlight w:val="none"/>
          <w:lang w:val="en-US" w:eastAsia="zh-CN"/>
        </w:rPr>
        <w:t>（投标时提供截图，截图能反映上述功能及数量）</w:t>
      </w:r>
    </w:p>
    <w:p w14:paraId="476E4CC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1.1.3 所有案例均支持完整的诊疗流程练习，也支持问诊、查体等专项基础训练。</w:t>
      </w:r>
    </w:p>
    <w:p w14:paraId="12CF3C93">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1.1.4所有真实案例来源于全国三甲医院及医学院，案例素材不涉及病人隐私，不存在法律纠纷。</w:t>
      </w:r>
    </w:p>
    <w:p w14:paraId="56B5604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1.1.5▲系统提供肝脓肿致脓毒性休克的三病程案例，本案例共提供CT图片不少于5张。第一病程患者以“发热、腹痛、呼吸困难、大汗”为首要症状，就诊时生命体征不平稳，伴意识改变，符合“脓毒性休克”诊断，经辅助检查后考虑肺部为继发症状，诊断为“肝脓肿”。第二病程患者经积极的抢救治疗后，生命体征趋于平稳，但发热、腹痛症状仍存在。第三病程患者经肝穿刺治疗，体温已回复正常2周，出院前再次出现高热。案例共提供CT图片不少于5张。（胸部CT显示两肺纹理增多增粗，可见多发斑片状密度增高影，边界不清楚，边缘不规则，双侧胸腔积液；腹部CT显示肝右叶见巨大低密度影，边界模糊，内见一类圆形更低密度影。治疗后腹部CT显示肝脏巨大低密度影，局部可见导管影，肝周少许液性低密度影。）</w:t>
      </w:r>
      <w:r>
        <w:rPr>
          <w:rFonts w:hint="eastAsia" w:ascii="宋体" w:hAnsi="宋体" w:eastAsia="宋体" w:cs="宋体"/>
          <w:b/>
          <w:bCs/>
          <w:color w:val="auto"/>
          <w:sz w:val="24"/>
          <w:szCs w:val="24"/>
          <w:highlight w:val="none"/>
          <w:lang w:val="en-US" w:eastAsia="zh-CN"/>
        </w:rPr>
        <w:t>（投标时提供截图，截图能反映上述功能及数量）</w:t>
      </w:r>
    </w:p>
    <w:p w14:paraId="2019AC7F">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 多路径多病程案例资源</w:t>
      </w:r>
    </w:p>
    <w:p w14:paraId="547C100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1.2.1▲厂家提供不少于200份多路径多病程完整案例（同时包含问诊、查体、辅检、诊断、治疗）的清单提供选择，案例覆盖内、外、妇、儿、急、全六大科室。</w:t>
      </w:r>
      <w:r>
        <w:rPr>
          <w:rFonts w:hint="eastAsia" w:ascii="宋体" w:hAnsi="宋体" w:eastAsia="宋体" w:cs="宋体"/>
          <w:b/>
          <w:bCs/>
          <w:color w:val="auto"/>
          <w:sz w:val="24"/>
          <w:szCs w:val="24"/>
          <w:highlight w:val="none"/>
          <w:lang w:val="en-US" w:eastAsia="zh-CN"/>
        </w:rPr>
        <w:t>（投标时提供截图，截图能反映上述功能及数量）</w:t>
      </w:r>
    </w:p>
    <w:p w14:paraId="4927072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1.2.2▲每个案例至少包含两条路径（最佳处置操作走向的最优路径和对患者病情不做任何有效处置的自然演变路径），每条路径至少包含两个病情变化阶段（两个病程以上）。</w:t>
      </w:r>
      <w:r>
        <w:rPr>
          <w:rFonts w:hint="eastAsia" w:ascii="宋体" w:hAnsi="宋体" w:eastAsia="宋体" w:cs="宋体"/>
          <w:b/>
          <w:bCs/>
          <w:color w:val="auto"/>
          <w:sz w:val="24"/>
          <w:szCs w:val="24"/>
          <w:highlight w:val="none"/>
          <w:lang w:val="en-US" w:eastAsia="zh-CN"/>
        </w:rPr>
        <w:t>（投标时提供截图，截图能反映上述功能及数量）</w:t>
      </w:r>
    </w:p>
    <w:p w14:paraId="793AAEA7">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1.2.3▲系统支持设置影响病情变化的关键处置，可配置多个满足条件或排除条件；支持设置案例不同路径的总分值。</w:t>
      </w:r>
      <w:r>
        <w:rPr>
          <w:rFonts w:hint="eastAsia" w:ascii="宋体" w:hAnsi="宋体" w:eastAsia="宋体" w:cs="宋体"/>
          <w:b/>
          <w:bCs/>
          <w:color w:val="auto"/>
          <w:sz w:val="24"/>
          <w:szCs w:val="24"/>
          <w:highlight w:val="none"/>
          <w:lang w:val="en-US" w:eastAsia="zh-CN"/>
        </w:rPr>
        <w:t>（投标时提供截图，截图能反映上述功能）</w:t>
      </w:r>
    </w:p>
    <w:p w14:paraId="6692611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1.2.4系统支持以路径图的形式展示病例发展的所有走向。案例素材不涉及病人隐私，不存在法律纠纷，支持学员自主学习、教师安排作业、考核和课堂教学等多种使用场景。</w:t>
      </w:r>
    </w:p>
    <w:p w14:paraId="5B961C58">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1.2.5系统需提供自发性气胸的多路径多病程案例，考察对自发性气胸治疗方法的掌握。第一病程患者以“呼吸困难”为首要症状就诊，诊断为“气胸”，如进行“胸腔闭式引流术”，则进入第一条路径（最优路径），该路径第二病程患者病情好转，拟出院；如未进行正确处理，则进入第二条路径，该路径第二病程患者意识模糊，血压下降；若采取心肺复苏+持续吸氧+肾上腺素，则进入第三病程患者状态恢复稳定；若未进行正确处置，进入第三条路径，第三病程患者呼吸心跳骤停。</w:t>
      </w:r>
    </w:p>
    <w:p w14:paraId="2131BE4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1.2.6系统提供急性肺栓塞的多路径案例，考核肺栓塞的识别与抗凝溶栓的时机选择。第一病程患者以“胸痛、呼吸困难”为首要症状就诊，诊断为“急性肺栓塞”，如给与“低分子量肝素”等抗凝治疗，进入第一条路径（最优路径），该路径第二病程患者各症状稍缓解，第三病程患者病情恶化，血氧饱和度仅为85%；如给与“尿激酶”等溶栓治疗，进入该路径第四病程患者病情稳定；如未行正确的治疗，进入第二条路径，患者呼之不应，需在对应阶段行溶栓治疗或者抢救治疗，患者则会跳转至好转病程。病情会不同程度的恶化直至进入死亡病程。</w:t>
      </w:r>
    </w:p>
    <w:p w14:paraId="59BBB8D1">
      <w:pPr>
        <w:keepNext w:val="0"/>
        <w:keepLines w:val="0"/>
        <w:pageBreakBefore w:val="0"/>
        <w:widowControl w:val="0"/>
        <w:kinsoku/>
        <w:wordWrap/>
        <w:overflowPunct/>
        <w:topLinePunct w:val="0"/>
        <w:autoSpaceDE/>
        <w:autoSpaceDN/>
        <w:bidi w:val="0"/>
        <w:adjustRightInd/>
        <w:snapToGrid/>
        <w:spacing w:line="440" w:lineRule="exact"/>
        <w:ind w:right="-92" w:rightChars="-44"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 CTA案例资源</w:t>
      </w:r>
    </w:p>
    <w:p w14:paraId="6ADC0C0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1.3.1▲厂家提供不少于380份完整案例清单供购买选择，案例涵盖95个病种。资料收集站、资料分析站、诊疗决策站、病程决策站各考站案例均覆盖95份。</w:t>
      </w:r>
      <w:r>
        <w:rPr>
          <w:rFonts w:hint="eastAsia" w:ascii="宋体" w:hAnsi="宋体" w:eastAsia="宋体" w:cs="宋体"/>
          <w:b/>
          <w:bCs/>
          <w:color w:val="auto"/>
          <w:sz w:val="24"/>
          <w:szCs w:val="24"/>
          <w:highlight w:val="none"/>
          <w:lang w:val="en-US" w:eastAsia="zh-CN"/>
        </w:rPr>
        <w:t>（投标时提供截图，截图能反映上述功能及数量）</w:t>
      </w:r>
    </w:p>
    <w:p w14:paraId="43F6C6C8">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 案例逻辑设置合理，案例素材不涉及病人隐私，不存在法律纠纷。</w:t>
      </w:r>
    </w:p>
    <w:p w14:paraId="3276CFB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 增强现实AI诊疗案例资源</w:t>
      </w:r>
    </w:p>
    <w:p w14:paraId="3C7F687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1.4.1▲厂家提供不少于100份增强现实病例可供选择，覆盖内科、外科、妇产科、儿科和急危重症</w:t>
      </w:r>
      <w:r>
        <w:rPr>
          <w:rFonts w:hint="eastAsia" w:ascii="宋体" w:hAnsi="宋体" w:eastAsia="宋体" w:cs="宋体"/>
          <w:b/>
          <w:bCs/>
          <w:color w:val="auto"/>
          <w:sz w:val="24"/>
          <w:szCs w:val="24"/>
          <w:highlight w:val="none"/>
          <w:lang w:val="en-US" w:eastAsia="zh-CN"/>
        </w:rPr>
        <w:t>（投标时提供截图，截图能反映上述功能及数量）</w:t>
      </w:r>
    </w:p>
    <w:p w14:paraId="50C67CD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 ▲虚拟病例可在AR环境内运行。支持手势控制菜单，支持手势定位。至少支持门诊、住院部两个场景画面，住院部场景须呈现AR虚实结合效果的虚拟病房场景，包含病床、输液架、呼吸机、移动B超机等设备；门诊场景会显示门诊室桌子，开始诊疗时，虚拟病人会走路到桌前坐下，选择查体时，虚拟病人会走到病床边躺下。虚拟病人根据病人年龄加载相应的3D人物形象（至少包含少年男性、少年女性、青年男性、青年女性、中年男性、中年女性、老年男性或老年女性等角色）。虚拟病人支持半卧、平躺或坐椅子等体位，当人物卧于病床时有动态呼吸起伏。支持用户360度查看病房场景。支持与虚拟病人直接语音问诊互动，支持通过虚拟菜单按钮点击和实体手柄按键点击与虚拟病人进行语音问诊互动。支持点击场景中输液架等设备时可快速添加该设备对应的医嘱项目。虚拟病人会根据病情变化展示平静、痛苦或昏迷等面部表情，并根据症状支持自然下垂、右手捂头、双手捂胸口或双手捂腹等手部姿势。支持查体时通过手势操作视觉识别，用户可通过触摸病人虚拟形象的身体部位来实现查体各部位的选择，如选择听诊后，用户手部触摸虚拟病人胸部时，将自动弹出检查结果并播放对应胸部听诊的声音。在诊疗过程中，若执行低流量吸氧操作时，病人虚拟形象将显示鼻插氧管；执行吸氧（面罩）操作时将显示呼吸面罩，执行球囊面罩辅助通气时，将显示带阀面罩；执行葡萄糖酸钙时将显示输液针。</w:t>
      </w:r>
      <w:r>
        <w:rPr>
          <w:rFonts w:hint="eastAsia" w:ascii="宋体" w:hAnsi="宋体" w:eastAsia="宋体" w:cs="宋体"/>
          <w:b/>
          <w:bCs/>
          <w:color w:val="auto"/>
          <w:sz w:val="24"/>
          <w:szCs w:val="24"/>
          <w:highlight w:val="none"/>
          <w:lang w:val="en-US" w:eastAsia="zh-CN"/>
        </w:rPr>
        <w:t>（投标时提供截图，截图能反映上述功能）</w:t>
      </w:r>
    </w:p>
    <w:p w14:paraId="4CF3983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2、案例内容管理</w:t>
      </w:r>
    </w:p>
    <w:p w14:paraId="257C63CC">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 ▲厂家提供案例编辑系统，编者可以从公共案例库中直接复制案例到私有的案例库进行案例修改，生成新的专属案例。</w:t>
      </w:r>
      <w:r>
        <w:rPr>
          <w:rFonts w:hint="eastAsia" w:ascii="宋体" w:hAnsi="宋体" w:eastAsia="宋体" w:cs="宋体"/>
          <w:b/>
          <w:bCs/>
          <w:color w:val="auto"/>
          <w:sz w:val="24"/>
          <w:szCs w:val="24"/>
          <w:highlight w:val="none"/>
          <w:lang w:val="en-US" w:eastAsia="zh-CN"/>
        </w:rPr>
        <w:t>（投标时提供截图，截图能反映上述功能）</w:t>
      </w:r>
    </w:p>
    <w:p w14:paraId="2A1C34F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支持自定义编辑案例，按步骤依次填写案例内容。支持快捷导入问诊模版，一键录入常见问诊问题。支持快捷导入医嘱模版，一键录入科室对应的常用辅检、治疗项目。支持导入病程模版，一键录入病程信息。可将案例中编好的问诊或医嘱项目及病程内容添加到私有模版保存。</w:t>
      </w:r>
      <w:r>
        <w:rPr>
          <w:rFonts w:hint="eastAsia" w:ascii="宋体" w:hAnsi="宋体" w:eastAsia="宋体" w:cs="宋体"/>
          <w:b/>
          <w:bCs/>
          <w:color w:val="auto"/>
          <w:sz w:val="24"/>
          <w:szCs w:val="24"/>
          <w:highlight w:val="none"/>
          <w:lang w:val="en-US" w:eastAsia="zh-CN"/>
        </w:rPr>
        <w:t>（投标时提供截图，截图能反映上述功能）</w:t>
      </w:r>
    </w:p>
    <w:p w14:paraId="63A7060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 ▲编者可以评分设置，各评价维度的分值，包含诊疗安全、诊疗路径、准确诊断（首要诊断、其他诊断）、病史采集（问诊、查体、辅检）、治疗决策、控费意识。满分设置100分，用饼状图的形式展示各维度比重；单个或批量设置操作项权重，权重系数可配置大于0小于等于10的数值，最多支持2位小数。问诊、查体、辅检、治疗等操作项均可设置系数。</w:t>
      </w:r>
      <w:r>
        <w:rPr>
          <w:rFonts w:hint="eastAsia" w:ascii="宋体" w:hAnsi="宋体" w:eastAsia="宋体" w:cs="宋体"/>
          <w:b/>
          <w:bCs/>
          <w:color w:val="auto"/>
          <w:sz w:val="24"/>
          <w:szCs w:val="24"/>
          <w:highlight w:val="none"/>
          <w:lang w:val="en-US" w:eastAsia="zh-CN"/>
        </w:rPr>
        <w:t>（投标时提供截图，截图能反映上述功能）</w:t>
      </w:r>
    </w:p>
    <w:p w14:paraId="32ACEED8">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2.4案例编辑完成后，可跳转至网页端诊室界面体验接诊，预览学员诊疗操作界面展示效果。对于已完成编写的案例，编者老师可自主用于教学及考试。</w:t>
      </w:r>
    </w:p>
    <w:p w14:paraId="7C11763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3、题库管理</w:t>
      </w:r>
    </w:p>
    <w:p w14:paraId="6FDE873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支持管理员通过网页或移动端便捷创建并管理考试；系统支持在同一场考试中，融合理论试题、临床思维评估、护理思维测评及技能操作考核等多种考试类型，实现综合能力考核；支持智能识别录题，自动识别试题文本中的题干、选项、答案、难度、解析内容，并转换成系统标准格式，智能识别文本中的不规范内容，给出相应的错误提示；支持题型包含A1A2、A3A4、B1、X、案例分析等；支持自动选题组卷，根据试题分类、试卷难度、题型、题量分类自动组合成试卷；支持知识点组卷，支持一级知识点、二级知识点、三级知识点等不同抽题分类组卷；支持考试过程中取消/恢复考生考试资格。</w:t>
      </w:r>
    </w:p>
    <w:p w14:paraId="6EE962E0">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四、自主训练</w:t>
      </w:r>
    </w:p>
    <w:p w14:paraId="7D7E41E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1、案例训练内容</w:t>
      </w:r>
    </w:p>
    <w:p w14:paraId="13F18A2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 单路径多病程案例训练内容</w:t>
      </w:r>
    </w:p>
    <w:p w14:paraId="3A31B244">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 选择训练模式后，可按专科、适用人群（本科生、住院医师、专科医生、基层医师）进行案例筛选。选择案例后，进入接诊页面。</w:t>
      </w:r>
    </w:p>
    <w:p w14:paraId="654FBF55">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1.1.2工作站显示病房场景、患者形象、操作倒计时、患者电子档案。支持通过电子档案查看患者信息，含患者主诉、病情介绍、既往史、病史资料等内容。</w:t>
      </w:r>
    </w:p>
    <w:p w14:paraId="43F7E18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1.1.3 系统需要完整模拟临床诊疗操作过程。学员可根据自己对病人病情的了解，对虚拟病人进行问诊、体检、辅助检查、诊断和治疗等操作。</w:t>
      </w:r>
    </w:p>
    <w:p w14:paraId="1A269D6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1.1.4 系统需要提供快速问诊。学员可以通过重点问诊了解患者病情、收集病史信息。问诊信息以对话形式显示。</w:t>
      </w:r>
    </w:p>
    <w:p w14:paraId="4B124CCA">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1.1.5 ▲案例可配置基于大语言模型的全开放式AI语音问诊，支持语音方式或者手动输入问题提问（AI语音问诊结果返回时间1-2秒）。</w:t>
      </w:r>
      <w:r>
        <w:rPr>
          <w:rFonts w:hint="eastAsia" w:ascii="宋体" w:hAnsi="宋体" w:eastAsia="宋体" w:cs="宋体"/>
          <w:b/>
          <w:bCs/>
          <w:color w:val="auto"/>
          <w:sz w:val="24"/>
          <w:szCs w:val="24"/>
          <w:highlight w:val="none"/>
          <w:lang w:val="en-US" w:eastAsia="zh-CN"/>
        </w:rPr>
        <w:t>（投标时提供演示视频）</w:t>
      </w:r>
    </w:p>
    <w:p w14:paraId="62A31A5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1.1.6 ▲系统可根据不同年龄段和性别的虚拟病人设置独特的音色（女生、男生、可爱童声、纯真童声）和情感元素。支持修改案例提示词，使AI问诊能契合多样化的个性化需求。系统支持在问诊结果评价中清晰呈现问诊关键词的命中情况。</w:t>
      </w:r>
      <w:r>
        <w:rPr>
          <w:rFonts w:hint="eastAsia" w:ascii="宋体" w:hAnsi="宋体" w:eastAsia="宋体" w:cs="宋体"/>
          <w:b/>
          <w:bCs/>
          <w:color w:val="auto"/>
          <w:sz w:val="24"/>
          <w:szCs w:val="24"/>
          <w:highlight w:val="none"/>
          <w:lang w:val="en-US" w:eastAsia="zh-CN"/>
        </w:rPr>
        <w:t>（投标时提供截图，截图能反映上述功能）</w:t>
      </w:r>
    </w:p>
    <w:p w14:paraId="0B01EE2A">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1.1.7 系统需提供重点查体。查体部分包含病人所有可查体部分的信息分类，可根据病人情况，选择重点查体部分信息。查体结果支持图片、文字、音频、视频等反馈形式。</w:t>
      </w:r>
    </w:p>
    <w:p w14:paraId="7AC5CCC4">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1.1.8 系统支持结合问诊、查体结果添加/修改初步诊断；通过搜索关键词或拼音首字母的方式，搜索合适的诊断进行添加，并关联诊断依据。已添加的诊断也可随时删除或转为鉴别诊断项。</w:t>
      </w:r>
    </w:p>
    <w:p w14:paraId="4D3CC2A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1.1.9 学员需要根据病人情况选择合适的辅助检查。辅检结果支持图片、文字、音视频展示，检查单结果支持表格形式展示。</w:t>
      </w:r>
    </w:p>
    <w:p w14:paraId="02CB4F77">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1.1.10系统支持随时添加或修改诊断和鉴别诊断。添加诊断或鉴别诊断时，支持关联问诊、查体、辅检结果，作为支持或排除依据依据。。</w:t>
      </w:r>
    </w:p>
    <w:p w14:paraId="6D12D9B7">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1.1.11▲虚拟病例支持多个病程，学员对虚拟患者给予治疗后，进入新的病程，学员需要根据患者新的情况继续对病人进行治疗，直到最后治疗结束。</w:t>
      </w:r>
      <w:r>
        <w:rPr>
          <w:rFonts w:hint="eastAsia" w:ascii="宋体" w:hAnsi="宋体" w:eastAsia="宋体" w:cs="宋体"/>
          <w:b/>
          <w:bCs/>
          <w:color w:val="auto"/>
          <w:sz w:val="24"/>
          <w:szCs w:val="24"/>
          <w:highlight w:val="none"/>
          <w:lang w:val="en-US" w:eastAsia="zh-CN"/>
        </w:rPr>
        <w:t>（投标时提供截图，截图能反映上述功能）</w:t>
      </w:r>
    </w:p>
    <w:p w14:paraId="7FC76EE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1.1.12系统提供异位妊娠的单路径三病程案例。第一病程患者以“停经、腹痛、阴道流血”为首要症状就诊，诊断为“右侧卵巢妊娠破裂出血”。第二病程为患者行腹腔镜手术后第三天，血β-HCG水平持续下降。第三病程未患者术后第7天，已恢复，于当日出院。</w:t>
      </w:r>
    </w:p>
    <w:p w14:paraId="05740E15">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1.1.13▲系统支持诊疗操作触发客观题考核，支持单项题、多选题、判断题。</w:t>
      </w:r>
      <w:r>
        <w:rPr>
          <w:rFonts w:hint="eastAsia" w:ascii="宋体" w:hAnsi="宋体" w:eastAsia="宋体" w:cs="宋体"/>
          <w:b/>
          <w:bCs/>
          <w:color w:val="auto"/>
          <w:sz w:val="24"/>
          <w:szCs w:val="24"/>
          <w:highlight w:val="none"/>
          <w:lang w:val="en-US" w:eastAsia="zh-CN"/>
        </w:rPr>
        <w:t>（投标时提供截图，截图能反映上述功能）</w:t>
      </w:r>
    </w:p>
    <w:p w14:paraId="517BF0C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1.1.14 诊疗过程中可随时查看诊疗日志，问诊、查体、辅检、诊断、治疗等记录。</w:t>
      </w:r>
    </w:p>
    <w:p w14:paraId="4109EB94">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1.2多路径多病程案例训练内容</w:t>
      </w:r>
    </w:p>
    <w:p w14:paraId="4FD13FE5">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1.2.1 系统支持按门诊部、住院部、急救中心等划分训练场景，支持通过专科适用人群（本科生、住院医师、专科医生、基层医师）进行案例筛选。选择案例后，进入接诊页面。</w:t>
      </w:r>
    </w:p>
    <w:p w14:paraId="5E4A7B3A">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1.2.2工作站需要展示诊疗场景、患者形象、操作倒计时；显示患者姓名、年龄、接诊地点、病情描述等患者信息。通过电子档案查看患者信息，包含患者主诉、病情介绍、既往史、患者资料等内容。接诊模拟完整临床诊疗操作过程，不限制操作步骤和顺序。</w:t>
      </w:r>
    </w:p>
    <w:p w14:paraId="52868940">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1.2.3系统基于大语言模型的全开放式AI语音问诊，支持语音方式或者手动输入问题提问（AI语音问诊结果返回时间1-2秒）。系统可根据不同年龄段和性别的虚拟病人设置独特的音色（女生、男生、可爱童声、纯真童声）和情感元素。支持修改案例提示词，使AI问诊能契合多样化的个性化需求。系统支持在问诊结果评价中清晰呈现问诊关键词的命中情况。</w:t>
      </w:r>
    </w:p>
    <w:p w14:paraId="7F7D2F7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1.2.4系统需提供重点查体。查体部分包含病人所有可查体部分的信息分类，可根据病人情况，选择重点查体部分信息。</w:t>
      </w:r>
    </w:p>
    <w:p w14:paraId="44D5B2BD">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1.2.5医嘱包含实验室检查、影像学检查等检查类医嘱，以及临床诊疗、药物治疗、手术、转诊、健康宣教等临床处置医嘱。学员需要根据病人情况选择合适的辅助检查或处置。支持医嘱价格展示、检查结果回报等。</w:t>
      </w:r>
    </w:p>
    <w:p w14:paraId="06C6EC91">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1.2.6辅检结果支持图片、文字、音视频展示，检查单结果支持表格形式展示。</w:t>
      </w:r>
    </w:p>
    <w:p w14:paraId="42C4009D">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1.2.7 添加诊断支持添加首要诊断和其他诊断，不限制添加时间，支持随时添加和修改。支持添加等效诊断。</w:t>
      </w:r>
    </w:p>
    <w:p w14:paraId="3DBBFA35">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1.2.8▲系统支持疾病全流程演变，学员对虚拟患者给予治疗后可以看到患者的病情演变。推进时间，病情的演变根据学员对病人的治疗方案不同而走向不同的情况。</w:t>
      </w:r>
      <w:r>
        <w:rPr>
          <w:rFonts w:hint="eastAsia" w:ascii="宋体" w:hAnsi="宋体" w:eastAsia="宋体" w:cs="宋体"/>
          <w:b/>
          <w:bCs/>
          <w:color w:val="auto"/>
          <w:sz w:val="24"/>
          <w:szCs w:val="24"/>
          <w:highlight w:val="none"/>
          <w:lang w:val="en-US" w:eastAsia="zh-CN"/>
        </w:rPr>
        <w:t>（投标时提供演示视频）</w:t>
      </w:r>
    </w:p>
    <w:p w14:paraId="1666798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1.2.9▲系统支持提供急性冠脉综合征的多路径多病程案例，重点考察急诊科医生对于胸痛患者的早期识别与处理。第一病程病程患者以“胸闷”为首要症状就诊于急诊科，诊断为“非ST段抬高型心肌梗死”、“高血压3级（高危）”。如联系心血管内科收住院，则进入第一条路径（最优路径），该路径第二病程患者进入心内科，再发胸闷，进行紧急PCI，术后转归；如选择行双抗治疗+急诊PCI（阿司匹林；氯吡格雷；冠状动脉造影术），则进入第二条路径，该路径第二病程患者病情稳定，也可转归；若仅留院观察或未行正确处理，进入第三条路径，该路径第二病程患者病情将持续恶化，若仍未进行正确处置，则进入第三病程，患者发生室颤，此时直至死亡。</w:t>
      </w:r>
      <w:r>
        <w:rPr>
          <w:rFonts w:hint="eastAsia" w:ascii="宋体" w:hAnsi="宋体" w:eastAsia="宋体" w:cs="宋体"/>
          <w:b/>
          <w:bCs/>
          <w:color w:val="auto"/>
          <w:sz w:val="24"/>
          <w:szCs w:val="24"/>
          <w:highlight w:val="none"/>
          <w:lang w:val="en-US" w:eastAsia="zh-CN"/>
        </w:rPr>
        <w:t>（投标时提供截图，截图能反映上述功能）</w:t>
      </w:r>
    </w:p>
    <w:p w14:paraId="50740F1C">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1.2.10支持通过诊疗操作触发客观题考核，支持单项题、多选题、判断题。</w:t>
      </w:r>
    </w:p>
    <w:p w14:paraId="79D9815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1.2.11诊疗过程中可随时查看诊疗记录，包含问诊、查体、医嘱清单、检查结果等记录。</w:t>
      </w:r>
    </w:p>
    <w:p w14:paraId="00ED59E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 CTA训练内容</w:t>
      </w:r>
    </w:p>
    <w:p w14:paraId="31BE685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1.3.1模拟国家CTA考试流程，包含四个考站：资料收集站、资料分析站、诊疗决策站和病程决策站。支持学员选择任意考站进行练习；支持系统随机生成考卷进行模拟测试。</w:t>
      </w:r>
    </w:p>
    <w:p w14:paraId="4BE5BD5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1.3.2系统支持快速问诊。学员可以通过重点问诊了解患者病情、收集病史信息。问诊信息以对话形式显示。</w:t>
      </w:r>
    </w:p>
    <w:p w14:paraId="59D1F9EC">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1.3.3查体部分包含病人所有可查体部分的信息分类，可根据病人情况选择重点查体部分信息，支持添加系统外的其他查体项。</w:t>
      </w:r>
    </w:p>
    <w:p w14:paraId="45FFEA43">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1.3.4支持按照层级筛选或搜索添加诊断；支持添加系统外的其他诊断。</w:t>
      </w:r>
    </w:p>
    <w:p w14:paraId="0ACE0628">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1.3.5支持按照层级筛选或搜索添加辅检、治疗；支持添加系统外的其他辅检和治疗项。</w:t>
      </w:r>
    </w:p>
    <w:p w14:paraId="230D8FE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1.3.6各考站诊疗结果分析支持得分查看、各项得分明细、各类型操作结果、操作对比分析。</w:t>
      </w:r>
    </w:p>
    <w:p w14:paraId="2BABEE1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2、训练成绩分析</w:t>
      </w:r>
    </w:p>
    <w:p w14:paraId="7456C61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2.1支持查看诊疗结果，包含诊疗得分以及诊疗能力分析，支持以雷达图形式展示准确诊断、病史采集、诊疗安全、控费意识等能力维度。</w:t>
      </w:r>
    </w:p>
    <w:p w14:paraId="3F66122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系统支持展示学员各能力维度的表现分析，对于表现不佳的维度，评语标红高亮区分，提醒学员重点关注。多路径案例支持案例诊疗路径图预览（包含案例所有路径），并高亮标记最优路径和学员实际诊疗路径。</w:t>
      </w:r>
      <w:r>
        <w:rPr>
          <w:rFonts w:hint="eastAsia" w:ascii="宋体" w:hAnsi="宋体" w:eastAsia="宋体" w:cs="宋体"/>
          <w:b/>
          <w:bCs/>
          <w:color w:val="auto"/>
          <w:sz w:val="24"/>
          <w:szCs w:val="24"/>
          <w:highlight w:val="none"/>
          <w:lang w:val="en-US" w:eastAsia="zh-CN"/>
        </w:rPr>
        <w:t>（投标时提供截图，截图能反映上述功能）</w:t>
      </w:r>
    </w:p>
    <w:p w14:paraId="69DBCC9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2.3▲支持展示学员经过病程的关键处置，学员可比对查看是否命中关键处置，帮助学员快速查看缺漏的重点操作。</w:t>
      </w:r>
      <w:r>
        <w:rPr>
          <w:rFonts w:hint="eastAsia" w:ascii="宋体" w:hAnsi="宋体" w:eastAsia="宋体" w:cs="宋体"/>
          <w:b/>
          <w:bCs/>
          <w:color w:val="auto"/>
          <w:sz w:val="24"/>
          <w:szCs w:val="24"/>
          <w:highlight w:val="none"/>
          <w:lang w:val="en-US" w:eastAsia="zh-CN"/>
        </w:rPr>
        <w:t>（投标时提供截图，截图能反映上述功能）</w:t>
      </w:r>
    </w:p>
    <w:p w14:paraId="06813F4A">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2.4系统提供诊断及鉴别诊断分析、问诊、查体、辅检、治疗分析等，提供参考指南来源等信息展示。</w:t>
      </w:r>
    </w:p>
    <w:p w14:paraId="6BEB8B8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2.5支持记录学员所有诊断、问诊、查体、辅检、治疗等诊疗操作，对比标准操作进行分析。支持展示各操作项对应整体学员的操作占比。</w:t>
      </w:r>
    </w:p>
    <w:p w14:paraId="4A942E6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 支持记录学员的所有诊疗操作，并上传至服务器，生成诊疗日志。</w:t>
      </w:r>
    </w:p>
    <w:p w14:paraId="49D92A5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 支持查看标准操作，含最优路径及对应的关键处置、诊断及诊断分析、各病程的标准操作和禁忌操作项。</w:t>
      </w:r>
    </w:p>
    <w:p w14:paraId="20DD13B8">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3、训练记录</w:t>
      </w:r>
    </w:p>
    <w:p w14:paraId="2391E61D">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系统支持记录学员的案例自主学习记录，统计学员不同案例的接诊次数、最高分及平均得分。以时间轴形式展示每次诊疗用时及得分结果。支持查看每次接诊的详细评价内容和操作明细。</w:t>
      </w:r>
    </w:p>
    <w:p w14:paraId="3CA4D4A0">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五、考试管理</w:t>
      </w:r>
    </w:p>
    <w:p w14:paraId="12FA83C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1、临床思维在线考试</w:t>
      </w:r>
    </w:p>
    <w:p w14:paraId="0C1E7034">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1.1系统提供多种角色发起考试，在权限设置上支持根据用户类型定义可发起考试的案例。</w:t>
      </w:r>
    </w:p>
    <w:p w14:paraId="61F088BC">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1.2参与考试人员不限制人员类型和身份。</w:t>
      </w:r>
    </w:p>
    <w:p w14:paraId="1B790B5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1.3考试设置</w:t>
      </w:r>
    </w:p>
    <w:p w14:paraId="0D8C8DFA">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支持通过小程序创建考试。创建考试可添加多个案例，及使用多种案例模式；支持通过场景、人群、专科进行案例筛选，案例编号或患者主诉快速搜索案例。支持查看案例详情，包含案例设计思路、患者信息、案例诊断、诊疗路径图。支持设置学员可随机完成一个或者全部完成案例。可设置诊疗次数（允许学员多次诊疗同一个案例）。设置案例模式、是否考察鉴别诊断、是否考察诊断依据。可设置成绩显示得分或显示评级。</w:t>
      </w:r>
      <w:r>
        <w:rPr>
          <w:rFonts w:hint="eastAsia" w:ascii="宋体" w:hAnsi="宋体" w:eastAsia="宋体" w:cs="宋体"/>
          <w:b/>
          <w:bCs/>
          <w:color w:val="auto"/>
          <w:sz w:val="24"/>
          <w:szCs w:val="24"/>
          <w:highlight w:val="none"/>
          <w:lang w:val="en-US" w:eastAsia="zh-CN"/>
        </w:rPr>
        <w:t>（投标时提供演示视频）</w:t>
      </w:r>
    </w:p>
    <w:p w14:paraId="4BE1151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1.3.2系统可设置考试时间，支持立即开始或自定义时间两种模式。</w:t>
      </w:r>
    </w:p>
    <w:p w14:paraId="2618D42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1.3.3系统可设置诊疗时间，时间结束后，自动结束诊疗。</w:t>
      </w:r>
    </w:p>
    <w:p w14:paraId="0656E1A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1.3.4系统可设置诊疗结果显示规则，可设置学员诊疗完成后立即显示、学员完成考试后显示、本场考试结束后显示。</w:t>
      </w:r>
    </w:p>
    <w:p w14:paraId="7C38AEC7">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1.3.5系统可设置学员查看诊疗结果的规则，可设置允许查看操作分析或不允许查看。</w:t>
      </w:r>
    </w:p>
    <w:p w14:paraId="0C6FC02C">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1.3.6系统可设置成绩排名显示，如显示即考试完毕后学员可查看自己在整场考试中的成绩排名。</w:t>
      </w:r>
    </w:p>
    <w:p w14:paraId="24214F4A">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1.3.7系统可设置报名信息，除姓名外，可设置手机号、机构等报名信息，可设置必填或非必填。</w:t>
      </w:r>
    </w:p>
    <w:p w14:paraId="52DE4B43">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1.3.8系统可学员通过小程序扫码或输入考试邀请码参与考试，同时支持学员通过PC网页参加考试。</w:t>
      </w:r>
    </w:p>
    <w:p w14:paraId="767A4BD8">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1.3.9案例考试整体分析，可查看全体学员的整体表现、平均分、完成情况；</w:t>
      </w:r>
    </w:p>
    <w:p w14:paraId="510F3FF3">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1.3.10▲支持查看考试数据，实时观察考试过程中每一个学员（参与者）的操作。支持查看学员整体表现，支持查看病例数、考试人数、通过人数、通过率、最高分、平均分、平均分以上人数、平均分以下人数等数据；支持以雷达图从准确诊断、病史采集、体格检查、辅助检查、临床治疗、动态决策、控费意识等维度展示考试整体表现；支持以饼图形式展示全局或单幕的项目完成比例及有效项目完成率。支持查看过程数据分析；支持查看案例完整路径图；支持查看案例诊断情况，包含学员诊断排名，各诊断下的学员明细，以及标准诊断；支持查看不同路径对应学员人数；支持切换病程，查看学员人数（进行中、已完成），查看当前病程进入到下一个病程的触发条件（关键处置），查看问诊、查体、辅检、治疗的操作TOP5预览及数据明细，可细化到每个操作项对应的具体学员名单。支持查看学员成绩排名。</w:t>
      </w:r>
      <w:r>
        <w:rPr>
          <w:rFonts w:hint="eastAsia" w:ascii="宋体" w:hAnsi="宋体" w:eastAsia="宋体" w:cs="宋体"/>
          <w:b/>
          <w:bCs/>
          <w:color w:val="auto"/>
          <w:sz w:val="24"/>
          <w:szCs w:val="24"/>
          <w:highlight w:val="none"/>
          <w:lang w:val="en-US" w:eastAsia="zh-CN"/>
        </w:rPr>
        <w:t>（投标时提供演示视频）</w:t>
      </w:r>
    </w:p>
    <w:p w14:paraId="27490D47">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1.3.11可查看每个学员的诊疗结果分析，含能力维度评价、操作分析及答案对照。</w:t>
      </w:r>
    </w:p>
    <w:p w14:paraId="37DC4EDB">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2、CTA在线研讨</w:t>
      </w:r>
    </w:p>
    <w:p w14:paraId="6BE78237">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支持移动端小程序使用。创建研讨可选择四个不同的案例分别对应四个考站，通过搜索症状筛选案例，可以预览案例详情，包含第四站路径图；当设置报名信息时，除姓名外，可设置手机号、机构等自定义报名信息，可设置必填或非必填。在研讨过程数据分析，可实时观察研讨过程中每一个学员（参与者）各站的操作情况及对应操作人员。小程序端可查看例研讨整体分析，查看全体学员的整体表现、平均分、完成情况；第四站的案例完整路径图。了解不同路径对应学员人数、每个病程的学员完成数及病情关键处置，查看每个病程的具体操作项，查看各学员的诊疗结果和操作记录。</w:t>
      </w:r>
      <w:r>
        <w:rPr>
          <w:rFonts w:hint="eastAsia" w:ascii="宋体" w:hAnsi="宋体" w:eastAsia="宋体" w:cs="宋体"/>
          <w:b/>
          <w:bCs/>
          <w:color w:val="auto"/>
          <w:sz w:val="24"/>
          <w:szCs w:val="24"/>
          <w:highlight w:val="none"/>
          <w:lang w:val="en-US" w:eastAsia="zh-CN"/>
        </w:rPr>
        <w:t>（投标时提供演示视频）</w:t>
      </w:r>
    </w:p>
    <w:p w14:paraId="4DEB5EA1">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2.2研讨可应用于考试、教学、竞赛、日常讨论等多种场景中。</w:t>
      </w:r>
    </w:p>
    <w:p w14:paraId="5C4341A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2.3研讨设置</w:t>
      </w:r>
    </w:p>
    <w:p w14:paraId="6CBE3CA9">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 可设置研讨时间，支持立即开始或自定义时间两种模式。</w:t>
      </w:r>
    </w:p>
    <w:p w14:paraId="4CA6163C">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 可设置诊疗时间，时间结束后，自动结束诊疗。</w:t>
      </w:r>
    </w:p>
    <w:p w14:paraId="0B5704C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 可设置诊疗结果显示规则，可设置学员诊疗完成后立即显示、学员完成研讨后显示、本场研讨结束后显示。</w:t>
      </w:r>
    </w:p>
    <w:p w14:paraId="15E968A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2.3.4可设置学员查看诊疗结果的规则，可设置允许查看操作分析或不允许查看。</w:t>
      </w:r>
    </w:p>
    <w:p w14:paraId="40256FFF">
      <w:pPr>
        <w:keepNext w:val="0"/>
        <w:keepLines w:val="0"/>
        <w:pageBreakBefore w:val="0"/>
        <w:widowControl w:val="0"/>
        <w:kinsoku/>
        <w:wordWrap/>
        <w:overflowPunct/>
        <w:topLinePunct w:val="0"/>
        <w:autoSpaceDE/>
        <w:autoSpaceDN/>
        <w:bidi w:val="0"/>
        <w:adjustRightInd/>
        <w:snapToGrid/>
        <w:spacing w:line="440" w:lineRule="exact"/>
        <w:ind w:right="-92" w:rightChars="-44"/>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六、教学管理</w:t>
      </w:r>
    </w:p>
    <w:p w14:paraId="6F3DB712">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1、课程创建发布</w:t>
      </w:r>
    </w:p>
    <w:p w14:paraId="5BFCB3F1">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系统支持自定义配置课程流程项目，包括课前通知、学员自评、课程介绍、操作视频学习、前测案例、前测结果分析、师生互动式教学、后测案例、课程总结、课程反馈等。支持从公共案例、我的案例中选择案例。支持学员自评与课程反馈通过问卷形式进行意见采集，系统提供内置问卷进行参考使用；支持教师查阅单个课程开展的具体情况，包含课前学习、课堂互动、课后作业等学员学情分析、学习数据汇总，支持考试成绩导出。</w:t>
      </w:r>
      <w:r>
        <w:rPr>
          <w:rFonts w:hint="eastAsia" w:ascii="宋体" w:hAnsi="宋体" w:eastAsia="宋体" w:cs="宋体"/>
          <w:b/>
          <w:bCs/>
          <w:color w:val="auto"/>
          <w:sz w:val="24"/>
          <w:szCs w:val="24"/>
          <w:highlight w:val="none"/>
          <w:lang w:val="en-US" w:eastAsia="zh-CN"/>
        </w:rPr>
        <w:t>（投标时提供演示视频）</w:t>
      </w:r>
    </w:p>
    <w:p w14:paraId="08673EEE">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2、课堂互动</w:t>
      </w:r>
    </w:p>
    <w:p w14:paraId="1B311D96">
      <w:pPr>
        <w:keepNext w:val="0"/>
        <w:keepLines w:val="0"/>
        <w:pageBreakBefore w:val="0"/>
        <w:widowControl w:val="0"/>
        <w:kinsoku/>
        <w:wordWrap/>
        <w:overflowPunct/>
        <w:topLinePunct w:val="0"/>
        <w:autoSpaceDE/>
        <w:autoSpaceDN/>
        <w:bidi w:val="0"/>
        <w:adjustRightInd/>
        <w:snapToGrid/>
        <w:spacing w:line="440" w:lineRule="exact"/>
        <w:ind w:right="-92" w:rightChars="-44" w:firstLine="460" w:firstLineChars="19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学员通过移动端小程序加入课程并进行临床思维训练。教师可通过系统进行课堂授课。课件和考试过程数据可以通过PC网页端整体全屏或分屏展示。页面可实时观察考试过程中每一个学员（参与者）的操作，并查看案例完整路径图。路径图中展示病程描述，病程当前人数和名单。支持显示路径跳转条件。支持查看案例诊断情况，包含学员诊断排名，各诊断下的学员明细，以及标准诊断。支持点击病程，查看当前病程的学员人数（进行中、已完成），支持查看问诊、查体、辅检、治疗的操作数量排名及数据明细，细化到每个操作项对应的具体学员名单。支持设置是否隐藏学员姓名。支持查看学员成绩排名（课程展示中可隐藏评价结果，不在大屏中直接展示）。支持查看单个学员的诊疗结果和操作记录。支持按操作项查看诊疗记录（预览已操作的项目，不直接显示结果是否正确）或按操作结果查看诊疗记录（可直接显示结果是否正确）。支持设置深色模式与字体放大模式。支持控制课程中是否开放学员在小程序内查看互动学习资源。</w:t>
      </w:r>
    </w:p>
    <w:p w14:paraId="28322EB1">
      <w:pPr>
        <w:keepNext w:val="0"/>
        <w:keepLines w:val="0"/>
        <w:pageBreakBefore w:val="0"/>
        <w:widowControl w:val="0"/>
        <w:kinsoku/>
        <w:overflowPunct/>
        <w:topLinePunct w:val="0"/>
        <w:autoSpaceDE/>
        <w:autoSpaceDN/>
        <w:bidi w:val="0"/>
        <w:adjustRightInd/>
        <w:snapToGrid/>
        <w:spacing w:line="400" w:lineRule="exact"/>
        <w:ind w:firstLine="437"/>
        <w:textAlignment w:val="auto"/>
        <w:outlineLvl w:val="1"/>
        <w:rPr>
          <w:rFonts w:hint="eastAsia" w:ascii="宋体" w:hAnsi="宋体" w:eastAsia="宋体"/>
          <w:b/>
          <w:color w:val="auto"/>
          <w:sz w:val="24"/>
          <w:szCs w:val="18"/>
          <w:highlight w:val="none"/>
        </w:rPr>
      </w:pPr>
      <w:bookmarkStart w:id="59" w:name="_Toc22385"/>
      <w:r>
        <w:rPr>
          <w:rFonts w:hint="eastAsia" w:ascii="宋体" w:hAnsi="宋体" w:eastAsia="宋体"/>
          <w:b/>
          <w:color w:val="auto"/>
          <w:sz w:val="24"/>
          <w:szCs w:val="18"/>
          <w:highlight w:val="none"/>
        </w:rPr>
        <w:t>三、报价要求</w:t>
      </w:r>
      <w:bookmarkEnd w:id="59"/>
    </w:p>
    <w:p w14:paraId="2835FCAA">
      <w:pPr>
        <w:keepNext w:val="0"/>
        <w:keepLines w:val="0"/>
        <w:pageBreakBefore w:val="0"/>
        <w:widowControl w:val="0"/>
        <w:kinsoku/>
        <w:wordWrap/>
        <w:overflowPunct/>
        <w:topLinePunct w:val="0"/>
        <w:autoSpaceDE/>
        <w:autoSpaceDN/>
        <w:bidi w:val="0"/>
        <w:adjustRightInd/>
        <w:snapToGrid/>
        <w:spacing w:line="400" w:lineRule="exact"/>
        <w:ind w:right="-92" w:rightChars="-44" w:firstLine="460" w:firstLineChars="192"/>
        <w:textAlignment w:val="auto"/>
        <w:rPr>
          <w:rFonts w:hint="eastAsia" w:ascii="宋体" w:hAnsi="宋体" w:eastAsia="宋体" w:cs="宋体"/>
          <w:color w:val="auto"/>
          <w:sz w:val="24"/>
          <w:szCs w:val="24"/>
          <w:highlight w:val="none"/>
        </w:rPr>
      </w:pPr>
      <w:bookmarkStart w:id="60" w:name="_Toc14698"/>
      <w:bookmarkStart w:id="61" w:name="_Toc15293"/>
      <w:r>
        <w:rPr>
          <w:rFonts w:hint="eastAsia" w:ascii="宋体" w:hAnsi="宋体" w:eastAsia="宋体" w:cs="宋体"/>
          <w:color w:val="auto"/>
          <w:sz w:val="24"/>
          <w:szCs w:val="24"/>
          <w:highlight w:val="none"/>
        </w:rPr>
        <w:t>1.投标报价文件中的单价和总价全部采用人民币表示。投标人的报价应含有货物（服务）、利润、税金、政策性文件规定及合同包含的所有风险、责任、义务等，即为完成招标文件要求的服务（货物）内容所包含的一切应有费用，中标价格今后将不作任何调整，采购人后期不再追加费用，投标供应商自行考虑投标风险。</w:t>
      </w:r>
    </w:p>
    <w:p w14:paraId="3A2AE0B9">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2.供应商只允许有一个方案、一个报价。</w:t>
      </w:r>
    </w:p>
    <w:p w14:paraId="3D94FAF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报价为含税价，采购人不再为此次招标支付任何费用。</w:t>
      </w:r>
    </w:p>
    <w:p w14:paraId="176C73C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报价应由法定代表人或被授权人签署。</w:t>
      </w:r>
    </w:p>
    <w:p w14:paraId="583EDEC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的报价不得高于本次招标</w:t>
      </w:r>
      <w:r>
        <w:rPr>
          <w:rFonts w:hint="eastAsia" w:ascii="宋体" w:hAnsi="宋体" w:eastAsia="宋体" w:cs="宋体"/>
          <w:color w:val="auto"/>
          <w:sz w:val="24"/>
          <w:szCs w:val="24"/>
          <w:highlight w:val="none"/>
          <w:lang w:val="en-US" w:eastAsia="zh-CN"/>
        </w:rPr>
        <w:t>设置的</w:t>
      </w:r>
      <w:r>
        <w:rPr>
          <w:rFonts w:hint="eastAsia" w:ascii="宋体" w:hAnsi="宋体" w:eastAsia="宋体" w:cs="宋体"/>
          <w:color w:val="auto"/>
          <w:sz w:val="24"/>
          <w:szCs w:val="24"/>
          <w:highlight w:val="none"/>
        </w:rPr>
        <w:t>最高限价，否则将作为无效报价处理。</w:t>
      </w:r>
    </w:p>
    <w:p w14:paraId="6D390ECB">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.如投标文件中未列明全面实现投标货物功能而必须配置的配套或辅助设施及相应技术措施的费用，这些费用将被视为已包含在总投标价中。</w:t>
      </w:r>
      <w:bookmarkEnd w:id="60"/>
      <w:bookmarkEnd w:id="61"/>
    </w:p>
    <w:p w14:paraId="09098557">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.总投标价中不得包含招标文件要求以外的内容，否则，在评标时不予核减，但在授予合同时，采购人有权将这部分价格从其中标价格中扣除。</w:t>
      </w:r>
    </w:p>
    <w:p w14:paraId="4227147B">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3B2D51A5">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.投标人不得对从第三方采购货物的随机备品、备件另行收费，否则在计算评标价时这部分费用将不予扣除，在授予合同时将从中标价格中扣除该部分费用。</w:t>
      </w:r>
    </w:p>
    <w:p w14:paraId="5E020D28">
      <w:pPr>
        <w:spacing w:line="360" w:lineRule="auto"/>
        <w:jc w:val="both"/>
        <w:outlineLvl w:val="0"/>
        <w:rPr>
          <w:rFonts w:hint="eastAsia" w:asciiTheme="minorEastAsia" w:hAnsiTheme="minorEastAsia" w:eastAsiaTheme="minorEastAsia"/>
          <w:b/>
          <w:color w:val="auto"/>
          <w:sz w:val="28"/>
          <w:highlight w:val="none"/>
        </w:rPr>
      </w:pPr>
    </w:p>
    <w:p w14:paraId="618E1842">
      <w:pPr>
        <w:spacing w:line="360" w:lineRule="auto"/>
        <w:jc w:val="both"/>
        <w:outlineLvl w:val="0"/>
        <w:rPr>
          <w:rFonts w:hint="eastAsia" w:asciiTheme="minorEastAsia" w:hAnsiTheme="minorEastAsia" w:eastAsiaTheme="minorEastAsia"/>
          <w:b/>
          <w:color w:val="auto"/>
          <w:sz w:val="28"/>
          <w:highlight w:val="none"/>
        </w:rPr>
      </w:pPr>
    </w:p>
    <w:p w14:paraId="662A4D12">
      <w:pPr>
        <w:spacing w:line="360" w:lineRule="auto"/>
        <w:jc w:val="both"/>
        <w:outlineLvl w:val="0"/>
        <w:rPr>
          <w:rFonts w:hint="eastAsia" w:asciiTheme="minorEastAsia" w:hAnsiTheme="minorEastAsia" w:eastAsiaTheme="minorEastAsia"/>
          <w:b/>
          <w:color w:val="auto"/>
          <w:sz w:val="28"/>
          <w:highlight w:val="none"/>
        </w:rPr>
      </w:pPr>
    </w:p>
    <w:p w14:paraId="28A13CF7">
      <w:pPr>
        <w:spacing w:line="360" w:lineRule="auto"/>
        <w:jc w:val="both"/>
        <w:outlineLvl w:val="0"/>
        <w:rPr>
          <w:rFonts w:hint="eastAsia" w:asciiTheme="minorEastAsia" w:hAnsiTheme="minorEastAsia" w:eastAsiaTheme="minorEastAsia"/>
          <w:b/>
          <w:color w:val="auto"/>
          <w:sz w:val="28"/>
          <w:highlight w:val="none"/>
        </w:rPr>
      </w:pPr>
    </w:p>
    <w:p w14:paraId="25923467">
      <w:pPr>
        <w:spacing w:line="360" w:lineRule="auto"/>
        <w:jc w:val="both"/>
        <w:outlineLvl w:val="0"/>
        <w:rPr>
          <w:rFonts w:hint="eastAsia" w:asciiTheme="minorEastAsia" w:hAnsiTheme="minorEastAsia" w:eastAsiaTheme="minorEastAsia"/>
          <w:b/>
          <w:color w:val="auto"/>
          <w:sz w:val="28"/>
          <w:highlight w:val="none"/>
        </w:rPr>
      </w:pPr>
    </w:p>
    <w:p w14:paraId="42DADD78">
      <w:pPr>
        <w:spacing w:line="360" w:lineRule="auto"/>
        <w:jc w:val="both"/>
        <w:outlineLvl w:val="0"/>
        <w:rPr>
          <w:rFonts w:hint="eastAsia" w:asciiTheme="minorEastAsia" w:hAnsiTheme="minorEastAsia" w:eastAsiaTheme="minorEastAsia"/>
          <w:b/>
          <w:color w:val="auto"/>
          <w:sz w:val="28"/>
          <w:highlight w:val="none"/>
        </w:rPr>
      </w:pPr>
    </w:p>
    <w:p w14:paraId="75378EF2">
      <w:pPr>
        <w:spacing w:line="360" w:lineRule="auto"/>
        <w:jc w:val="both"/>
        <w:outlineLvl w:val="0"/>
        <w:rPr>
          <w:rFonts w:hint="eastAsia" w:asciiTheme="minorEastAsia" w:hAnsiTheme="minorEastAsia" w:eastAsiaTheme="minorEastAsia"/>
          <w:b/>
          <w:color w:val="auto"/>
          <w:sz w:val="28"/>
          <w:highlight w:val="none"/>
        </w:rPr>
      </w:pPr>
    </w:p>
    <w:p w14:paraId="70DF70E7">
      <w:pPr>
        <w:spacing w:line="360" w:lineRule="auto"/>
        <w:jc w:val="both"/>
        <w:outlineLvl w:val="0"/>
        <w:rPr>
          <w:rFonts w:hint="eastAsia" w:asciiTheme="minorEastAsia" w:hAnsiTheme="minorEastAsia" w:eastAsiaTheme="minorEastAsia"/>
          <w:b/>
          <w:color w:val="auto"/>
          <w:sz w:val="28"/>
          <w:highlight w:val="none"/>
        </w:rPr>
      </w:pPr>
    </w:p>
    <w:p w14:paraId="4B6A986C">
      <w:pPr>
        <w:spacing w:line="360" w:lineRule="auto"/>
        <w:jc w:val="center"/>
        <w:outlineLvl w:val="0"/>
        <w:rPr>
          <w:rFonts w:hint="eastAsia" w:asciiTheme="minorEastAsia" w:hAnsiTheme="minorEastAsia" w:eastAsiaTheme="minorEastAsia"/>
          <w:b/>
          <w:color w:val="auto"/>
          <w:sz w:val="28"/>
          <w:highlight w:val="none"/>
        </w:rPr>
      </w:pPr>
      <w:bookmarkStart w:id="62" w:name="_Toc25441"/>
      <w:r>
        <w:rPr>
          <w:rFonts w:hint="eastAsia" w:asciiTheme="minorEastAsia" w:hAnsiTheme="minorEastAsia" w:eastAsiaTheme="minorEastAsia"/>
          <w:b/>
          <w:color w:val="auto"/>
          <w:sz w:val="28"/>
          <w:highlight w:val="none"/>
        </w:rPr>
        <w:t>第四章  评标方法和标准（综合评分法）</w:t>
      </w:r>
      <w:bookmarkEnd w:id="62"/>
    </w:p>
    <w:p w14:paraId="536632D6">
      <w:pPr>
        <w:spacing w:line="360" w:lineRule="auto"/>
        <w:ind w:firstLine="437"/>
        <w:outlineLvl w:val="1"/>
        <w:rPr>
          <w:rFonts w:hint="eastAsia" w:asciiTheme="minorEastAsia" w:hAnsiTheme="minorEastAsia" w:eastAsiaTheme="minorEastAsia"/>
          <w:b/>
          <w:color w:val="auto"/>
          <w:sz w:val="24"/>
          <w:highlight w:val="none"/>
        </w:rPr>
      </w:pPr>
      <w:bookmarkStart w:id="63" w:name="_Toc22115"/>
      <w:bookmarkStart w:id="64" w:name="_Toc6560"/>
      <w:bookmarkStart w:id="65" w:name="_Toc23317"/>
      <w:r>
        <w:rPr>
          <w:rFonts w:hint="eastAsia" w:asciiTheme="minorEastAsia" w:hAnsiTheme="minorEastAsia" w:eastAsiaTheme="minorEastAsia"/>
          <w:b/>
          <w:color w:val="auto"/>
          <w:sz w:val="24"/>
          <w:highlight w:val="none"/>
        </w:rPr>
        <w:t>一、总则</w:t>
      </w:r>
      <w:bookmarkEnd w:id="63"/>
      <w:bookmarkEnd w:id="64"/>
      <w:bookmarkEnd w:id="65"/>
    </w:p>
    <w:p w14:paraId="12B9202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63131490">
      <w:pPr>
        <w:spacing w:line="360" w:lineRule="auto"/>
        <w:ind w:firstLine="437"/>
        <w:outlineLvl w:val="1"/>
        <w:rPr>
          <w:rFonts w:hint="eastAsia" w:asciiTheme="minorEastAsia" w:hAnsiTheme="minorEastAsia" w:eastAsiaTheme="minorEastAsia"/>
          <w:b/>
          <w:color w:val="auto"/>
          <w:sz w:val="24"/>
          <w:highlight w:val="none"/>
        </w:rPr>
      </w:pPr>
      <w:bookmarkStart w:id="66" w:name="_Toc15971"/>
      <w:bookmarkStart w:id="67" w:name="_Toc27343"/>
      <w:bookmarkStart w:id="68" w:name="_Toc28533"/>
      <w:r>
        <w:rPr>
          <w:rFonts w:hint="eastAsia" w:asciiTheme="minorEastAsia" w:hAnsiTheme="minorEastAsia" w:eastAsiaTheme="minorEastAsia"/>
          <w:b/>
          <w:color w:val="auto"/>
          <w:sz w:val="24"/>
          <w:highlight w:val="none"/>
        </w:rPr>
        <w:t>二、评标方法</w:t>
      </w:r>
      <w:bookmarkEnd w:id="66"/>
      <w:bookmarkEnd w:id="67"/>
      <w:bookmarkEnd w:id="68"/>
    </w:p>
    <w:p w14:paraId="6E08D271">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516"/>
        <w:gridCol w:w="4689"/>
        <w:gridCol w:w="1912"/>
      </w:tblGrid>
      <w:tr w14:paraId="7CD4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37E3C19">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831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tcBorders>
              <w:bottom w:val="single" w:color="auto" w:sz="4" w:space="0"/>
            </w:tcBorders>
            <w:vAlign w:val="center"/>
          </w:tcPr>
          <w:p w14:paraId="7F2A159F">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序号</w:t>
            </w:r>
          </w:p>
        </w:tc>
        <w:tc>
          <w:tcPr>
            <w:tcW w:w="865" w:type="pct"/>
            <w:tcBorders>
              <w:bottom w:val="single" w:color="auto" w:sz="4" w:space="0"/>
            </w:tcBorders>
            <w:vAlign w:val="center"/>
          </w:tcPr>
          <w:p w14:paraId="0C8C7378">
            <w:pPr>
              <w:pStyle w:val="46"/>
              <w:pBdr>
                <w:bottom w:val="none" w:color="auto" w:sz="0" w:space="0"/>
              </w:pBdr>
              <w:tabs>
                <w:tab w:val="clear" w:pos="4153"/>
                <w:tab w:val="clear" w:pos="8306"/>
              </w:tabs>
              <w:snapToGrid w:val="0"/>
              <w:spacing w:line="360" w:lineRule="auto"/>
              <w:ind w:right="-10"/>
              <w:textAlignment w:val="auto"/>
              <w:rPr>
                <w:rFonts w:hint="eastAsia" w:ascii="宋体" w:hAnsi="宋体" w:eastAsia="宋体"/>
                <w:color w:val="auto"/>
                <w:kern w:val="2"/>
                <w:szCs w:val="24"/>
                <w:highlight w:val="none"/>
              </w:rPr>
            </w:pPr>
            <w:r>
              <w:rPr>
                <w:rFonts w:hint="eastAsia" w:ascii="宋体" w:hAnsi="宋体" w:eastAsia="宋体"/>
                <w:color w:val="auto"/>
                <w:kern w:val="2"/>
                <w:szCs w:val="24"/>
                <w:highlight w:val="none"/>
              </w:rPr>
              <w:t>审查指标</w:t>
            </w:r>
          </w:p>
        </w:tc>
        <w:tc>
          <w:tcPr>
            <w:tcW w:w="2676" w:type="pct"/>
            <w:tcBorders>
              <w:bottom w:val="single" w:color="auto" w:sz="4" w:space="0"/>
            </w:tcBorders>
            <w:vAlign w:val="center"/>
          </w:tcPr>
          <w:p w14:paraId="03367C11">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审查标准</w:t>
            </w:r>
          </w:p>
        </w:tc>
        <w:tc>
          <w:tcPr>
            <w:tcW w:w="1090" w:type="pct"/>
            <w:tcBorders>
              <w:bottom w:val="single" w:color="auto" w:sz="4" w:space="0"/>
            </w:tcBorders>
            <w:vAlign w:val="center"/>
          </w:tcPr>
          <w:p w14:paraId="5C4257DD">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格式要求</w:t>
            </w:r>
          </w:p>
        </w:tc>
      </w:tr>
      <w:tr w14:paraId="7A17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8" w:type="pct"/>
            <w:tcBorders>
              <w:bottom w:val="single" w:color="auto" w:sz="4" w:space="0"/>
            </w:tcBorders>
            <w:vAlign w:val="center"/>
          </w:tcPr>
          <w:p w14:paraId="232AC12E">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865" w:type="pct"/>
            <w:tcBorders>
              <w:bottom w:val="single" w:color="auto" w:sz="4" w:space="0"/>
            </w:tcBorders>
            <w:vAlign w:val="center"/>
          </w:tcPr>
          <w:p w14:paraId="3A41B749">
            <w:pPr>
              <w:spacing w:after="50" w:line="360" w:lineRule="auto"/>
              <w:ind w:right="-10"/>
              <w:jc w:val="center"/>
              <w:rPr>
                <w:rFonts w:hint="eastAsia"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76" w:type="pct"/>
            <w:tcBorders>
              <w:bottom w:val="single" w:color="auto" w:sz="4" w:space="0"/>
            </w:tcBorders>
            <w:vAlign w:val="center"/>
          </w:tcPr>
          <w:p w14:paraId="0621407E">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44B3D480">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41EC0B37">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17771938">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4F0F43D2">
            <w:pPr>
              <w:spacing w:after="50" w:line="360" w:lineRule="auto"/>
              <w:ind w:right="-1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rPr>
              <w:t>；</w:t>
            </w:r>
          </w:p>
        </w:tc>
        <w:tc>
          <w:tcPr>
            <w:tcW w:w="1090" w:type="pct"/>
            <w:vAlign w:val="center"/>
          </w:tcPr>
          <w:p w14:paraId="17A9BE43">
            <w:pPr>
              <w:pStyle w:val="22"/>
              <w:spacing w:before="0" w:beforeAutospacing="0" w:after="0" w:afterAutospacing="0" w:line="360" w:lineRule="auto"/>
              <w:jc w:val="center"/>
              <w:rPr>
                <w:rFonts w:hint="eastAsia"/>
                <w:color w:val="auto"/>
                <w:highlight w:val="none"/>
              </w:rPr>
            </w:pPr>
            <w:r>
              <w:rPr>
                <w:rFonts w:hint="eastAsia" w:ascii="宋体" w:hAnsi="宋体" w:eastAsia="宋体" w:cs="宋体"/>
                <w:color w:val="auto"/>
                <w:szCs w:val="24"/>
                <w:highlight w:val="none"/>
              </w:rPr>
              <w:t>提供材料复印件加盖公章</w:t>
            </w:r>
          </w:p>
          <w:p w14:paraId="65F4C430">
            <w:pPr>
              <w:spacing w:line="360" w:lineRule="auto"/>
              <w:jc w:val="left"/>
              <w:rPr>
                <w:rFonts w:hint="eastAsia" w:ascii="宋体" w:hAnsi="宋体" w:eastAsia="宋体"/>
                <w:color w:val="auto"/>
                <w:sz w:val="24"/>
                <w:highlight w:val="none"/>
              </w:rPr>
            </w:pPr>
          </w:p>
        </w:tc>
      </w:tr>
      <w:tr w14:paraId="23AF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8" w:type="pct"/>
            <w:tcBorders>
              <w:bottom w:val="single" w:color="auto" w:sz="4" w:space="0"/>
            </w:tcBorders>
            <w:vAlign w:val="center"/>
          </w:tcPr>
          <w:p w14:paraId="6CE2AA6C">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865" w:type="pct"/>
            <w:tcBorders>
              <w:bottom w:val="single" w:color="auto" w:sz="4" w:space="0"/>
            </w:tcBorders>
            <w:vAlign w:val="center"/>
          </w:tcPr>
          <w:p w14:paraId="4EB0E7D8">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2676" w:type="pct"/>
            <w:tcBorders>
              <w:bottom w:val="single" w:color="auto" w:sz="4" w:space="0"/>
            </w:tcBorders>
            <w:vAlign w:val="center"/>
          </w:tcPr>
          <w:p w14:paraId="73BB37FC">
            <w:pPr>
              <w:spacing w:after="50" w:line="360" w:lineRule="auto"/>
              <w:ind w:right="-1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090" w:type="pct"/>
            <w:vAlign w:val="center"/>
          </w:tcPr>
          <w:p w14:paraId="705FBBAD">
            <w:pPr>
              <w:spacing w:line="360" w:lineRule="auto"/>
              <w:jc w:val="left"/>
              <w:rPr>
                <w:rFonts w:hint="eastAsia"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6B03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28D3DBED">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865" w:type="pct"/>
            <w:vAlign w:val="center"/>
          </w:tcPr>
          <w:p w14:paraId="62A8D0B0">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76" w:type="pct"/>
            <w:vAlign w:val="center"/>
          </w:tcPr>
          <w:p w14:paraId="015AD59F">
            <w:pPr>
              <w:spacing w:after="50" w:line="360" w:lineRule="auto"/>
              <w:ind w:right="-10"/>
              <w:jc w:val="left"/>
              <w:rPr>
                <w:rFonts w:hint="eastAsia"/>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招标公告</w:t>
            </w:r>
            <w:r>
              <w:rPr>
                <w:rFonts w:hint="eastAsia" w:ascii="宋体" w:hAnsi="宋体" w:eastAsia="宋体" w:cs="宋体"/>
                <w:color w:val="auto"/>
                <w:sz w:val="24"/>
                <w:szCs w:val="24"/>
                <w:highlight w:val="none"/>
              </w:rPr>
              <w:t>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90" w:type="pct"/>
            <w:vAlign w:val="center"/>
          </w:tcPr>
          <w:p w14:paraId="14C1D489">
            <w:pPr>
              <w:wordWrap w:val="0"/>
              <w:spacing w:line="360" w:lineRule="auto"/>
              <w:jc w:val="left"/>
              <w:rPr>
                <w:rFonts w:hint="eastAsia"/>
                <w:color w:val="auto"/>
                <w:highlight w:val="none"/>
              </w:rPr>
            </w:pPr>
            <w:r>
              <w:rPr>
                <w:rFonts w:hint="eastAsia" w:ascii="宋体" w:hAnsi="宋体" w:eastAsia="宋体" w:cs="宋体"/>
                <w:color w:val="auto"/>
                <w:sz w:val="24"/>
                <w:szCs w:val="24"/>
                <w:highlight w:val="none"/>
              </w:rPr>
              <w:t>投标人提供诚信投标承诺书，由采购人或采购代理机构查询。</w:t>
            </w:r>
          </w:p>
        </w:tc>
      </w:tr>
    </w:tbl>
    <w:p w14:paraId="287B667E">
      <w:pPr>
        <w:spacing w:line="360" w:lineRule="auto"/>
        <w:ind w:firstLine="435"/>
        <w:rPr>
          <w:rFonts w:hint="eastAsia" w:asciiTheme="minorEastAsia" w:hAnsiTheme="minorEastAsia" w:eastAsiaTheme="minorEastAsia"/>
          <w:color w:val="auto"/>
          <w:sz w:val="24"/>
          <w:highlight w:val="none"/>
        </w:rPr>
      </w:pPr>
      <w:bookmarkStart w:id="69" w:name="_Hlk16461707"/>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69"/>
    <w:p w14:paraId="2117B41C">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56562D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2122"/>
        <w:gridCol w:w="3196"/>
        <w:gridCol w:w="2473"/>
      </w:tblGrid>
      <w:tr w14:paraId="66FF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4"/>
            <w:tcBorders>
              <w:bottom w:val="single" w:color="auto" w:sz="4" w:space="0"/>
            </w:tcBorders>
            <w:vAlign w:val="center"/>
          </w:tcPr>
          <w:p w14:paraId="3D8D0B86">
            <w:pPr>
              <w:adjustRightInd w:val="0"/>
              <w:snapToGrid w:val="0"/>
              <w:spacing w:line="360" w:lineRule="auto"/>
              <w:ind w:right="-10"/>
              <w:jc w:val="center"/>
              <w:rPr>
                <w:rFonts w:hint="eastAsia"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1DFE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tcBorders>
              <w:bottom w:val="single" w:color="auto" w:sz="4" w:space="0"/>
            </w:tcBorders>
            <w:vAlign w:val="center"/>
          </w:tcPr>
          <w:p w14:paraId="02AC9FFA">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序号</w:t>
            </w:r>
          </w:p>
        </w:tc>
        <w:tc>
          <w:tcPr>
            <w:tcW w:w="1240" w:type="pct"/>
            <w:tcBorders>
              <w:bottom w:val="single" w:color="auto" w:sz="4" w:space="0"/>
            </w:tcBorders>
            <w:vAlign w:val="center"/>
          </w:tcPr>
          <w:p w14:paraId="3381E534">
            <w:pPr>
              <w:pStyle w:val="46"/>
              <w:pBdr>
                <w:bottom w:val="none" w:color="auto" w:sz="0" w:space="0"/>
              </w:pBdr>
              <w:tabs>
                <w:tab w:val="clear" w:pos="4153"/>
                <w:tab w:val="clear" w:pos="8306"/>
              </w:tabs>
              <w:snapToGrid w:val="0"/>
              <w:spacing w:line="360" w:lineRule="auto"/>
              <w:ind w:right="-10"/>
              <w:textAlignment w:val="auto"/>
              <w:rPr>
                <w:rFonts w:hint="eastAsia" w:ascii="宋体" w:hAnsi="宋体" w:eastAsia="宋体"/>
                <w:color w:val="auto"/>
                <w:kern w:val="2"/>
                <w:highlight w:val="none"/>
              </w:rPr>
            </w:pPr>
            <w:r>
              <w:rPr>
                <w:rFonts w:hint="eastAsia" w:ascii="宋体" w:hAnsi="宋体" w:eastAsia="宋体"/>
                <w:color w:val="auto"/>
                <w:kern w:val="2"/>
                <w:highlight w:val="none"/>
              </w:rPr>
              <w:t>审查指标</w:t>
            </w:r>
          </w:p>
        </w:tc>
        <w:tc>
          <w:tcPr>
            <w:tcW w:w="1867" w:type="pct"/>
            <w:tcBorders>
              <w:bottom w:val="single" w:color="auto" w:sz="4" w:space="0"/>
            </w:tcBorders>
            <w:vAlign w:val="center"/>
          </w:tcPr>
          <w:p w14:paraId="1942DC41">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审查标准</w:t>
            </w:r>
          </w:p>
        </w:tc>
        <w:tc>
          <w:tcPr>
            <w:tcW w:w="1444" w:type="pct"/>
            <w:tcBorders>
              <w:bottom w:val="single" w:color="auto" w:sz="4" w:space="0"/>
            </w:tcBorders>
            <w:vAlign w:val="center"/>
          </w:tcPr>
          <w:p w14:paraId="3508645C">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格式要求</w:t>
            </w:r>
          </w:p>
        </w:tc>
      </w:tr>
      <w:tr w14:paraId="7916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55F6BE53">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0" w:type="pct"/>
            <w:vAlign w:val="center"/>
          </w:tcPr>
          <w:p w14:paraId="75F068B7">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67" w:type="pct"/>
            <w:vAlign w:val="center"/>
          </w:tcPr>
          <w:p w14:paraId="22EE2A45">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44" w:type="pct"/>
            <w:vAlign w:val="center"/>
          </w:tcPr>
          <w:p w14:paraId="25D86139">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484C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73CA6ED5">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0" w:type="pct"/>
            <w:vAlign w:val="center"/>
          </w:tcPr>
          <w:p w14:paraId="380ACA5B">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67" w:type="pct"/>
            <w:vAlign w:val="center"/>
          </w:tcPr>
          <w:p w14:paraId="1101CAF8">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44" w:type="pct"/>
            <w:vAlign w:val="center"/>
          </w:tcPr>
          <w:p w14:paraId="0CD451A1">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D96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33A0F028">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0" w:type="pct"/>
            <w:vAlign w:val="center"/>
          </w:tcPr>
          <w:p w14:paraId="402A0A52">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67" w:type="pct"/>
            <w:vAlign w:val="center"/>
          </w:tcPr>
          <w:p w14:paraId="27DAB2D3">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44" w:type="pct"/>
            <w:vAlign w:val="center"/>
          </w:tcPr>
          <w:p w14:paraId="0C0B03A0">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2300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3BB93CDA">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0" w:type="pct"/>
            <w:vAlign w:val="center"/>
          </w:tcPr>
          <w:p w14:paraId="4C604485">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67" w:type="pct"/>
            <w:vAlign w:val="center"/>
          </w:tcPr>
          <w:p w14:paraId="24318D8A">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1444" w:type="pct"/>
            <w:vAlign w:val="center"/>
          </w:tcPr>
          <w:p w14:paraId="1C0FBE34">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98A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6644976C">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240" w:type="pct"/>
            <w:vAlign w:val="center"/>
          </w:tcPr>
          <w:p w14:paraId="7071F0F5">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67" w:type="pct"/>
            <w:vAlign w:val="center"/>
          </w:tcPr>
          <w:p w14:paraId="5E35E854">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1444" w:type="pct"/>
            <w:vAlign w:val="center"/>
          </w:tcPr>
          <w:p w14:paraId="551ECC22">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2A4A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6490AE75">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240" w:type="pct"/>
            <w:vAlign w:val="center"/>
          </w:tcPr>
          <w:p w14:paraId="1D81A2E9">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1867" w:type="pct"/>
            <w:vAlign w:val="center"/>
          </w:tcPr>
          <w:p w14:paraId="11538769">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w:t>
            </w:r>
            <w:r>
              <w:rPr>
                <w:rFonts w:hint="eastAsia" w:asciiTheme="minorEastAsia" w:hAnsiTheme="minorEastAsia" w:eastAsiaTheme="minorEastAsia"/>
                <w:color w:val="auto"/>
                <w:sz w:val="24"/>
                <w:szCs w:val="28"/>
                <w:highlight w:val="none"/>
                <w:lang w:val="en-US" w:eastAsia="zh-CN"/>
              </w:rPr>
              <w:t>技术参数及要求</w:t>
            </w:r>
            <w:r>
              <w:rPr>
                <w:rFonts w:hint="eastAsia" w:asciiTheme="minorEastAsia" w:hAnsiTheme="minorEastAsia" w:eastAsiaTheme="minorEastAsia"/>
                <w:color w:val="auto"/>
                <w:sz w:val="24"/>
                <w:szCs w:val="28"/>
                <w:highlight w:val="none"/>
              </w:rPr>
              <w:t>等实质性要求</w:t>
            </w:r>
          </w:p>
        </w:tc>
        <w:tc>
          <w:tcPr>
            <w:tcW w:w="1444" w:type="pct"/>
            <w:vAlign w:val="center"/>
          </w:tcPr>
          <w:p w14:paraId="4C7E748D">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4D1E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7903B591">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240" w:type="pct"/>
            <w:vAlign w:val="center"/>
          </w:tcPr>
          <w:p w14:paraId="1E597849">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67" w:type="pct"/>
            <w:vAlign w:val="center"/>
          </w:tcPr>
          <w:p w14:paraId="69683EB1">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1444" w:type="pct"/>
            <w:vAlign w:val="center"/>
          </w:tcPr>
          <w:p w14:paraId="5F39F2A7">
            <w:pPr>
              <w:adjustRightInd w:val="0"/>
              <w:snapToGrid w:val="0"/>
              <w:spacing w:line="360" w:lineRule="auto"/>
              <w:ind w:right="-10"/>
              <w:jc w:val="center"/>
              <w:rPr>
                <w:rFonts w:hint="eastAsia" w:asciiTheme="minorEastAsia" w:hAnsiTheme="minorEastAsia" w:eastAsiaTheme="minorEastAsia"/>
                <w:color w:val="auto"/>
                <w:sz w:val="24"/>
                <w:highlight w:val="none"/>
              </w:rPr>
            </w:pPr>
          </w:p>
        </w:tc>
      </w:tr>
    </w:tbl>
    <w:p w14:paraId="31FDE6E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48F2C2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2.3详细审查</w:t>
      </w:r>
    </w:p>
    <w:p w14:paraId="339E2CB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2.3.1评标委员会按照下表对投标文件进行详细审查和评分。</w:t>
      </w:r>
    </w:p>
    <w:p w14:paraId="562619D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2.3.2本项目综合评分满分为100分，其中：技术资信分值占总分值的权重为</w:t>
      </w:r>
      <w:r>
        <w:rPr>
          <w:rFonts w:hint="eastAsia" w:asciiTheme="minorEastAsia" w:hAnsiTheme="minorEastAsia" w:eastAsiaTheme="minorEastAsia"/>
          <w:color w:val="auto"/>
          <w:sz w:val="24"/>
          <w:highlight w:val="none"/>
          <w:lang w:val="en-US" w:eastAsia="zh-CN"/>
        </w:rPr>
        <w:t>70</w:t>
      </w:r>
      <w:r>
        <w:rPr>
          <w:rFonts w:hint="eastAsia"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lang w:val="en-US" w:eastAsia="zh-CN"/>
        </w:rPr>
        <w:t>30</w:t>
      </w:r>
      <w:r>
        <w:rPr>
          <w:rFonts w:hint="eastAsia" w:asciiTheme="minorEastAsia" w:hAnsiTheme="minorEastAsia" w:eastAsiaTheme="minorEastAsia"/>
          <w:color w:val="auto"/>
          <w:sz w:val="24"/>
          <w:highlight w:val="none"/>
        </w:rPr>
        <w:t>%。具体评分细则如下：</w:t>
      </w:r>
    </w:p>
    <w:tbl>
      <w:tblPr>
        <w:tblStyle w:val="27"/>
        <w:tblW w:w="57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9"/>
        <w:gridCol w:w="1081"/>
        <w:gridCol w:w="6477"/>
        <w:gridCol w:w="1038"/>
      </w:tblGrid>
      <w:tr w14:paraId="6582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34" w:type="pct"/>
            <w:tcBorders>
              <w:top w:val="single" w:color="auto" w:sz="4" w:space="0"/>
              <w:left w:val="single" w:color="auto" w:sz="4" w:space="0"/>
              <w:bottom w:val="single" w:color="auto" w:sz="4" w:space="0"/>
              <w:right w:val="single" w:color="auto" w:sz="4" w:space="0"/>
            </w:tcBorders>
            <w:vAlign w:val="center"/>
          </w:tcPr>
          <w:p w14:paraId="0EBADB4D">
            <w:pPr>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类别</w:t>
            </w:r>
          </w:p>
        </w:tc>
        <w:tc>
          <w:tcPr>
            <w:tcW w:w="549" w:type="pct"/>
            <w:tcBorders>
              <w:top w:val="single" w:color="auto" w:sz="4" w:space="0"/>
              <w:left w:val="single" w:color="auto" w:sz="4" w:space="0"/>
              <w:bottom w:val="single" w:color="auto" w:sz="4" w:space="0"/>
              <w:right w:val="single" w:color="auto" w:sz="4" w:space="0"/>
            </w:tcBorders>
            <w:vAlign w:val="center"/>
          </w:tcPr>
          <w:p w14:paraId="46235A96">
            <w:pPr>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w:t>
            </w:r>
          </w:p>
          <w:p w14:paraId="317BCC4D">
            <w:pPr>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内容</w:t>
            </w:r>
          </w:p>
        </w:tc>
        <w:tc>
          <w:tcPr>
            <w:tcW w:w="3289" w:type="pct"/>
            <w:tcBorders>
              <w:top w:val="single" w:color="auto" w:sz="4" w:space="0"/>
              <w:left w:val="single" w:color="auto" w:sz="4" w:space="0"/>
              <w:bottom w:val="single" w:color="auto" w:sz="4" w:space="0"/>
              <w:right w:val="single" w:color="auto" w:sz="4" w:space="0"/>
            </w:tcBorders>
            <w:vAlign w:val="center"/>
          </w:tcPr>
          <w:p w14:paraId="755969B4">
            <w:pPr>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评分标准</w:t>
            </w:r>
          </w:p>
        </w:tc>
        <w:tc>
          <w:tcPr>
            <w:tcW w:w="527" w:type="pct"/>
            <w:tcBorders>
              <w:top w:val="single" w:color="auto" w:sz="4" w:space="0"/>
              <w:left w:val="single" w:color="auto" w:sz="4" w:space="0"/>
              <w:bottom w:val="single" w:color="auto" w:sz="4" w:space="0"/>
              <w:right w:val="single" w:color="auto" w:sz="4" w:space="0"/>
            </w:tcBorders>
            <w:vAlign w:val="center"/>
          </w:tcPr>
          <w:p w14:paraId="7B2B102C">
            <w:pPr>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分值</w:t>
            </w:r>
          </w:p>
          <w:p w14:paraId="02392664">
            <w:pPr>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范围</w:t>
            </w:r>
          </w:p>
        </w:tc>
      </w:tr>
      <w:tr w14:paraId="6068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34" w:type="pct"/>
            <w:vMerge w:val="restart"/>
            <w:tcBorders>
              <w:top w:val="single" w:color="auto" w:sz="4" w:space="0"/>
              <w:left w:val="single" w:color="auto" w:sz="4" w:space="0"/>
              <w:right w:val="single" w:color="auto" w:sz="4" w:space="0"/>
            </w:tcBorders>
            <w:vAlign w:val="center"/>
          </w:tcPr>
          <w:p w14:paraId="6A2B0F46">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技术资信分（70分）</w:t>
            </w:r>
          </w:p>
        </w:tc>
        <w:tc>
          <w:tcPr>
            <w:tcW w:w="549" w:type="pct"/>
            <w:tcBorders>
              <w:top w:val="single" w:color="auto" w:sz="4" w:space="0"/>
              <w:left w:val="single" w:color="auto" w:sz="4" w:space="0"/>
              <w:bottom w:val="single" w:color="auto" w:sz="4" w:space="0"/>
              <w:right w:val="single" w:color="auto" w:sz="4" w:space="0"/>
            </w:tcBorders>
            <w:vAlign w:val="center"/>
          </w:tcPr>
          <w:p w14:paraId="43396009">
            <w:pPr>
              <w:keepNext w:val="0"/>
              <w:keepLines w:val="0"/>
              <w:pageBreakBefore w:val="0"/>
              <w:widowControl w:val="0"/>
              <w:wordWrap w:val="0"/>
              <w:topLinePunct w:val="0"/>
              <w:bidi w:val="0"/>
              <w:spacing w:line="440" w:lineRule="exact"/>
              <w:jc w:val="center"/>
              <w:textAlignment w:val="auto"/>
              <w:rPr>
                <w:rFonts w:hint="eastAsia" w:asciiTheme="minorEastAsia" w:hAnsiTheme="minorEastAsia" w:eastAsiaTheme="minorEastAsia"/>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bidi="zh-CN"/>
              </w:rPr>
              <w:t>业绩</w:t>
            </w:r>
          </w:p>
        </w:tc>
        <w:tc>
          <w:tcPr>
            <w:tcW w:w="3289" w:type="pct"/>
            <w:tcBorders>
              <w:top w:val="single" w:color="auto" w:sz="4" w:space="0"/>
              <w:left w:val="single" w:color="auto" w:sz="4" w:space="0"/>
              <w:bottom w:val="single" w:color="auto" w:sz="4" w:space="0"/>
              <w:right w:val="single" w:color="auto" w:sz="4" w:space="0"/>
            </w:tcBorders>
            <w:vAlign w:val="center"/>
          </w:tcPr>
          <w:p w14:paraId="21784EB9">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供应商或生产厂家自2024年1月以来（以合同签订时间为准）具有与所投产品同类业绩的，每</w:t>
            </w:r>
            <w:r>
              <w:rPr>
                <w:rFonts w:hint="eastAsia" w:ascii="宋体" w:hAnsi="宋体" w:eastAsia="宋体" w:cs="宋体"/>
                <w:color w:val="auto"/>
                <w:sz w:val="24"/>
                <w:szCs w:val="24"/>
                <w:highlight w:val="none"/>
                <w:lang w:val="en-US" w:bidi="zh-CN"/>
              </w:rPr>
              <w:t>提供1个得</w:t>
            </w:r>
            <w:r>
              <w:rPr>
                <w:rFonts w:hint="eastAsia" w:ascii="宋体" w:hAnsi="宋体" w:eastAsia="宋体" w:cs="宋体"/>
                <w:color w:val="auto"/>
                <w:sz w:val="24"/>
                <w:szCs w:val="24"/>
                <w:highlight w:val="none"/>
                <w:lang w:val="en-US" w:eastAsia="zh-CN" w:bidi="zh-CN"/>
              </w:rPr>
              <w:t>2</w:t>
            </w:r>
            <w:r>
              <w:rPr>
                <w:rFonts w:hint="eastAsia" w:ascii="宋体" w:hAnsi="宋体" w:eastAsia="宋体" w:cs="宋体"/>
                <w:color w:val="auto"/>
                <w:sz w:val="24"/>
                <w:szCs w:val="24"/>
                <w:highlight w:val="none"/>
                <w:lang w:bidi="zh-CN"/>
              </w:rPr>
              <w:t>分，最</w:t>
            </w:r>
            <w:r>
              <w:rPr>
                <w:rFonts w:hint="eastAsia" w:ascii="宋体" w:hAnsi="宋体" w:eastAsia="宋体" w:cs="宋体"/>
                <w:color w:val="auto"/>
                <w:sz w:val="24"/>
                <w:szCs w:val="24"/>
                <w:highlight w:val="none"/>
                <w:lang w:val="en-US" w:bidi="zh-CN"/>
              </w:rPr>
              <w:t>高得</w:t>
            </w:r>
            <w:r>
              <w:rPr>
                <w:rFonts w:hint="eastAsia" w:ascii="宋体" w:hAnsi="宋体" w:eastAsia="宋体" w:cs="宋体"/>
                <w:color w:val="auto"/>
                <w:sz w:val="24"/>
                <w:szCs w:val="24"/>
                <w:highlight w:val="none"/>
                <w:lang w:val="en-US" w:eastAsia="zh-CN" w:bidi="zh-CN"/>
              </w:rPr>
              <w:t>4</w:t>
            </w:r>
            <w:r>
              <w:rPr>
                <w:rFonts w:hint="eastAsia" w:ascii="宋体" w:hAnsi="宋体" w:eastAsia="宋体" w:cs="宋体"/>
                <w:color w:val="auto"/>
                <w:sz w:val="24"/>
                <w:szCs w:val="24"/>
                <w:highlight w:val="none"/>
                <w:lang w:bidi="zh-CN"/>
              </w:rPr>
              <w:t xml:space="preserve">分。 </w:t>
            </w:r>
          </w:p>
          <w:p w14:paraId="198C0ED8">
            <w:pPr>
              <w:keepNext w:val="0"/>
              <w:keepLines w:val="0"/>
              <w:pageBreakBefore w:val="0"/>
              <w:widowControl w:val="0"/>
              <w:wordWrap w:val="0"/>
              <w:topLinePunct w:val="0"/>
              <w:bidi w:val="0"/>
              <w:spacing w:line="440" w:lineRule="exact"/>
              <w:textAlignment w:val="auto"/>
              <w:rPr>
                <w:rFonts w:hint="eastAsia"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val="en-US" w:eastAsia="zh-CN" w:bidi="zh-CN"/>
              </w:rPr>
              <w:t>注：（1）投标文件中需提供合同复印件并加盖公章，时间以合同签订时间为准；若合同材料中无法体现签订时间、业绩内容等关键评审因素的，须另外提供业主（合同甲方）出具的盖章证明材料。</w:t>
            </w:r>
          </w:p>
          <w:p w14:paraId="720A44B7">
            <w:pPr>
              <w:keepNext w:val="0"/>
              <w:keepLines w:val="0"/>
              <w:pageBreakBefore w:val="0"/>
              <w:widowControl w:val="0"/>
              <w:wordWrap w:val="0"/>
              <w:topLinePunct w:val="0"/>
              <w:bidi w:val="0"/>
              <w:spacing w:line="440" w:lineRule="exact"/>
              <w:textAlignment w:val="auto"/>
              <w:rPr>
                <w:rFonts w:hint="eastAsia" w:asciiTheme="minorEastAsia" w:hAnsiTheme="minorEastAsia" w:eastAsiaTheme="minorEastAsia"/>
                <w:b/>
                <w:bCs/>
                <w:color w:val="auto"/>
                <w:sz w:val="24"/>
                <w:szCs w:val="24"/>
                <w:highlight w:val="none"/>
              </w:rPr>
            </w:pPr>
            <w:r>
              <w:rPr>
                <w:rFonts w:hint="eastAsia" w:ascii="宋体" w:hAnsi="宋体" w:eastAsia="宋体" w:cs="宋体"/>
                <w:b/>
                <w:bCs/>
                <w:color w:val="auto"/>
                <w:sz w:val="24"/>
                <w:szCs w:val="24"/>
                <w:highlight w:val="none"/>
                <w:lang w:val="en-US" w:eastAsia="zh-CN" w:bidi="zh-CN"/>
              </w:rPr>
              <w:t>（2）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二项业绩，其余超出部分不再评审。</w:t>
            </w:r>
          </w:p>
        </w:tc>
        <w:tc>
          <w:tcPr>
            <w:tcW w:w="527" w:type="pct"/>
            <w:tcBorders>
              <w:top w:val="single" w:color="auto" w:sz="4" w:space="0"/>
              <w:left w:val="single" w:color="auto" w:sz="4" w:space="0"/>
              <w:bottom w:val="single" w:color="auto" w:sz="4" w:space="0"/>
              <w:right w:val="single" w:color="auto" w:sz="4" w:space="0"/>
            </w:tcBorders>
            <w:vAlign w:val="center"/>
          </w:tcPr>
          <w:p w14:paraId="0E28E35F">
            <w:pPr>
              <w:jc w:val="center"/>
              <w:rPr>
                <w:rFonts w:hint="default" w:asciiTheme="minorEastAsia" w:hAnsiTheme="minorEastAsia" w:eastAsiaTheme="minorEastAsia"/>
                <w:b/>
                <w:bCs/>
                <w:color w:val="auto"/>
                <w:sz w:val="24"/>
                <w:szCs w:val="24"/>
                <w:highlight w:val="none"/>
                <w:lang w:val="en-US" w:eastAsia="zh-CN"/>
              </w:rPr>
            </w:pPr>
            <w:r>
              <w:rPr>
                <w:rFonts w:hint="eastAsia" w:asciiTheme="minorEastAsia" w:hAnsiTheme="minorEastAsia" w:eastAsiaTheme="minorEastAsia"/>
                <w:b/>
                <w:bCs/>
                <w:color w:val="auto"/>
                <w:sz w:val="24"/>
                <w:szCs w:val="24"/>
                <w:highlight w:val="none"/>
                <w:lang w:val="en-US" w:eastAsia="zh-CN"/>
              </w:rPr>
              <w:t>0-4</w:t>
            </w:r>
            <w:r>
              <w:rPr>
                <w:rFonts w:hint="eastAsia" w:ascii="宋体" w:hAnsi="宋体" w:eastAsia="宋体" w:cs="宋体"/>
                <w:b/>
                <w:bCs/>
                <w:color w:val="auto"/>
                <w:sz w:val="24"/>
                <w:szCs w:val="24"/>
                <w:highlight w:val="none"/>
              </w:rPr>
              <w:t>分</w:t>
            </w:r>
          </w:p>
        </w:tc>
      </w:tr>
      <w:tr w14:paraId="670E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34" w:type="pct"/>
            <w:vMerge w:val="continue"/>
            <w:tcBorders>
              <w:left w:val="single" w:color="auto" w:sz="4" w:space="0"/>
              <w:right w:val="single" w:color="auto" w:sz="4" w:space="0"/>
            </w:tcBorders>
            <w:vAlign w:val="center"/>
          </w:tcPr>
          <w:p w14:paraId="4703B593">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p>
        </w:tc>
        <w:tc>
          <w:tcPr>
            <w:tcW w:w="549" w:type="pct"/>
            <w:tcBorders>
              <w:top w:val="single" w:color="auto" w:sz="4" w:space="0"/>
              <w:left w:val="single" w:color="auto" w:sz="4" w:space="0"/>
              <w:bottom w:val="single" w:color="auto" w:sz="4" w:space="0"/>
              <w:right w:val="single" w:color="auto" w:sz="4" w:space="0"/>
            </w:tcBorders>
            <w:vAlign w:val="center"/>
          </w:tcPr>
          <w:p w14:paraId="64F1EC6F">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技术参数响应</w:t>
            </w:r>
          </w:p>
        </w:tc>
        <w:tc>
          <w:tcPr>
            <w:tcW w:w="3289" w:type="pct"/>
            <w:tcBorders>
              <w:top w:val="single" w:color="auto" w:sz="4" w:space="0"/>
              <w:left w:val="single" w:color="auto" w:sz="4" w:space="0"/>
              <w:bottom w:val="single" w:color="auto" w:sz="4" w:space="0"/>
              <w:right w:val="single" w:color="auto" w:sz="4" w:space="0"/>
            </w:tcBorders>
            <w:vAlign w:val="center"/>
          </w:tcPr>
          <w:p w14:paraId="1280E4DB">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①标注“★”</w:t>
            </w:r>
            <w:r>
              <w:rPr>
                <w:rFonts w:hint="eastAsia" w:ascii="宋体" w:hAnsi="宋体" w:eastAsia="宋体" w:cs="宋体"/>
                <w:color w:val="auto"/>
                <w:sz w:val="24"/>
                <w:szCs w:val="24"/>
                <w:highlight w:val="none"/>
                <w:lang w:val="en-US" w:bidi="zh-CN"/>
              </w:rPr>
              <w:t>符号</w:t>
            </w:r>
            <w:r>
              <w:rPr>
                <w:rFonts w:hint="eastAsia" w:ascii="宋体" w:hAnsi="宋体" w:eastAsia="宋体" w:cs="宋体"/>
                <w:color w:val="auto"/>
                <w:sz w:val="24"/>
                <w:szCs w:val="24"/>
                <w:highlight w:val="none"/>
                <w:lang w:bidi="zh-CN"/>
              </w:rPr>
              <w:t>的参数为核心技术参数，投标人必须提供说明书、检测报告、官方网站截图、产品彩页、系统截图等证明材料（以上材料提供任意一项即可），该类参数不得存在负偏离，若出现负偏离，按投标无效处理；其中标注“★”的“质保期内案例更换20%”项，投标人须提交专项承诺函，未按要求提交专项承诺函的，视为该核心参数负偏离，按投标无效处理。</w:t>
            </w:r>
          </w:p>
          <w:p w14:paraId="41ADF44E">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②标注“▲”</w:t>
            </w:r>
            <w:r>
              <w:rPr>
                <w:rFonts w:hint="eastAsia" w:ascii="宋体" w:hAnsi="宋体" w:eastAsia="宋体" w:cs="宋体"/>
                <w:color w:val="auto"/>
                <w:sz w:val="24"/>
                <w:szCs w:val="24"/>
                <w:highlight w:val="none"/>
                <w:lang w:val="en-US" w:bidi="zh-CN"/>
              </w:rPr>
              <w:t>符号</w:t>
            </w:r>
            <w:r>
              <w:rPr>
                <w:rFonts w:hint="eastAsia" w:ascii="宋体" w:hAnsi="宋体" w:eastAsia="宋体" w:cs="宋体"/>
                <w:color w:val="auto"/>
                <w:sz w:val="24"/>
                <w:szCs w:val="24"/>
                <w:highlight w:val="none"/>
                <w:lang w:bidi="zh-CN"/>
              </w:rPr>
              <w:t>的参数为主要技术参数指标，投标人须按招标文件要求，提供软件截图证明或系统演示视频证明（按对应参数要求提交对应证明材料）。具体评分标准如下：要求提供软件截图证明的，每满足或优于一项该类指标，得2.0分；要求提供系统演示视频证明的【</w:t>
            </w:r>
            <w:r>
              <w:rPr>
                <w:rFonts w:hint="eastAsia" w:ascii="宋体" w:hAnsi="宋体" w:eastAsia="宋体" w:cs="宋体"/>
                <w:color w:val="auto"/>
                <w:sz w:val="24"/>
                <w:szCs w:val="24"/>
                <w:highlight w:val="none"/>
                <w:lang w:val="en-US" w:eastAsia="zh-CN" w:bidi="zh-CN"/>
              </w:rPr>
              <w:t>视频总时长（所有视频时长累计时间）10-15分钟</w:t>
            </w:r>
            <w:r>
              <w:rPr>
                <w:rFonts w:hint="eastAsia" w:ascii="宋体" w:hAnsi="宋体" w:eastAsia="宋体" w:cs="宋体"/>
                <w:color w:val="auto"/>
                <w:sz w:val="24"/>
                <w:szCs w:val="24"/>
                <w:highlight w:val="none"/>
                <w:lang w:bidi="zh-CN"/>
              </w:rPr>
              <w:t>】，每满足一项该类指标，得4.0分；本类参数累计最高得分60分。</w:t>
            </w:r>
          </w:p>
          <w:p w14:paraId="0F7B1653">
            <w:pPr>
              <w:keepNext w:val="0"/>
              <w:keepLines w:val="0"/>
              <w:pageBreakBefore w:val="0"/>
              <w:widowControl w:val="0"/>
              <w:wordWrap w:val="0"/>
              <w:topLinePunct w:val="0"/>
              <w:bidi w:val="0"/>
              <w:spacing w:line="440" w:lineRule="exact"/>
              <w:textAlignment w:val="auto"/>
              <w:rPr>
                <w:rFonts w:hint="default" w:ascii="宋体" w:hAnsi="宋体" w:eastAsia="宋体" w:cs="宋体"/>
                <w:color w:val="auto"/>
                <w:sz w:val="24"/>
                <w:szCs w:val="24"/>
                <w:highlight w:val="none"/>
                <w:lang w:val="en-US" w:bidi="zh-CN"/>
              </w:rPr>
            </w:pPr>
            <w:r>
              <w:rPr>
                <w:rFonts w:hint="eastAsia" w:asciiTheme="minorEastAsia" w:hAnsiTheme="minorEastAsia" w:eastAsiaTheme="minorEastAsia" w:cstheme="minorEastAsia"/>
                <w:b/>
                <w:bCs/>
                <w:color w:val="auto"/>
                <w:kern w:val="2"/>
                <w:sz w:val="24"/>
                <w:szCs w:val="24"/>
                <w:highlight w:val="none"/>
                <w:lang w:val="en-US" w:eastAsia="zh-CN" w:bidi="ar-SA"/>
              </w:rPr>
              <w:t>注：投标人自行录制演示视频，将演示视频储存在U盘中，U盘与投标文件一起密封于档案袋中，每条视频文件名需标注清楚对应序号（技术参数及要求中的序号），视频无法打开或播放或内容不完整的，则对应该项视频演示不得分。</w:t>
            </w:r>
          </w:p>
          <w:p w14:paraId="740F5696">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③除上述“★”项、“▲”项以外的其余参数为常规技术参数，</w:t>
            </w:r>
            <w:r>
              <w:rPr>
                <w:rFonts w:hint="eastAsia" w:ascii="宋体" w:hAnsi="宋体" w:eastAsia="宋体" w:cs="宋体"/>
                <w:color w:val="auto"/>
                <w:sz w:val="24"/>
                <w:szCs w:val="24"/>
                <w:highlight w:val="none"/>
                <w:lang w:val="en-US" w:bidi="zh-CN"/>
              </w:rPr>
              <w:t>评委按照投标人</w:t>
            </w:r>
            <w:r>
              <w:rPr>
                <w:rFonts w:hint="eastAsia" w:ascii="宋体" w:hAnsi="宋体" w:eastAsia="宋体" w:cs="宋体"/>
                <w:color w:val="auto"/>
                <w:sz w:val="24"/>
                <w:szCs w:val="24"/>
                <w:highlight w:val="none"/>
                <w:lang w:bidi="zh-CN"/>
              </w:rPr>
              <w:t>技术响应表</w:t>
            </w:r>
            <w:r>
              <w:rPr>
                <w:rFonts w:hint="eastAsia" w:ascii="宋体" w:hAnsi="宋体" w:eastAsia="宋体" w:cs="宋体"/>
                <w:color w:val="auto"/>
                <w:sz w:val="24"/>
                <w:szCs w:val="24"/>
                <w:highlight w:val="none"/>
                <w:lang w:val="en-US" w:bidi="zh-CN"/>
              </w:rPr>
              <w:t>填写内容</w:t>
            </w:r>
            <w:r>
              <w:rPr>
                <w:rFonts w:hint="eastAsia" w:ascii="宋体" w:hAnsi="宋体" w:eastAsia="宋体" w:cs="宋体"/>
                <w:color w:val="auto"/>
                <w:sz w:val="24"/>
                <w:szCs w:val="24"/>
                <w:highlight w:val="none"/>
                <w:lang w:bidi="zh-CN"/>
              </w:rPr>
              <w:t>，按以下标准执行：</w:t>
            </w:r>
          </w:p>
          <w:p w14:paraId="6424D455">
            <w:pPr>
              <w:keepNext w:val="0"/>
              <w:keepLines w:val="0"/>
              <w:pageBreakBefore w:val="0"/>
              <w:widowControl w:val="0"/>
              <w:wordWrap w:val="0"/>
              <w:topLinePunct w:val="0"/>
              <w:bidi w:val="0"/>
              <w:spacing w:line="440" w:lineRule="exact"/>
              <w:textAlignment w:val="auto"/>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color w:val="auto"/>
                <w:sz w:val="24"/>
                <w:szCs w:val="24"/>
                <w:highlight w:val="none"/>
                <w:lang w:bidi="zh-CN"/>
              </w:rPr>
              <w:t>常规技术参数负偏离项数量超过</w:t>
            </w:r>
            <w:r>
              <w:rPr>
                <w:rFonts w:hint="eastAsia" w:ascii="宋体" w:hAnsi="宋体" w:eastAsia="宋体" w:cs="宋体"/>
                <w:color w:val="auto"/>
                <w:sz w:val="24"/>
                <w:szCs w:val="24"/>
                <w:highlight w:val="none"/>
                <w:lang w:val="en-US" w:eastAsia="zh-CN" w:bidi="zh-CN"/>
              </w:rPr>
              <w:t>10项</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eastAsia="zh-CN" w:bidi="zh-CN"/>
              </w:rPr>
              <w:t>此技术参数响应部分60分不得分。</w:t>
            </w:r>
          </w:p>
        </w:tc>
        <w:tc>
          <w:tcPr>
            <w:tcW w:w="527" w:type="pct"/>
            <w:tcBorders>
              <w:top w:val="single" w:color="auto" w:sz="4" w:space="0"/>
              <w:left w:val="single" w:color="auto" w:sz="4" w:space="0"/>
              <w:bottom w:val="single" w:color="auto" w:sz="4" w:space="0"/>
              <w:right w:val="single" w:color="auto" w:sz="4" w:space="0"/>
            </w:tcBorders>
            <w:vAlign w:val="center"/>
          </w:tcPr>
          <w:p w14:paraId="5FB689E0">
            <w:pPr>
              <w:jc w:val="center"/>
              <w:rPr>
                <w:rFonts w:hint="default" w:asciiTheme="minorEastAsia" w:hAnsiTheme="minorEastAsia" w:eastAsiaTheme="minorEastAsia"/>
                <w:b/>
                <w:bCs/>
                <w:color w:val="auto"/>
                <w:sz w:val="24"/>
                <w:szCs w:val="24"/>
                <w:highlight w:val="none"/>
                <w:lang w:val="en-US" w:eastAsia="zh-CN"/>
              </w:rPr>
            </w:pPr>
            <w:r>
              <w:rPr>
                <w:rFonts w:hint="eastAsia" w:asciiTheme="minorEastAsia" w:hAnsiTheme="minorEastAsia" w:eastAsiaTheme="minorEastAsia"/>
                <w:b/>
                <w:bCs/>
                <w:color w:val="auto"/>
                <w:sz w:val="24"/>
                <w:szCs w:val="24"/>
                <w:highlight w:val="none"/>
                <w:lang w:val="en-US" w:eastAsia="zh-CN"/>
              </w:rPr>
              <w:t>0-60</w:t>
            </w:r>
            <w:r>
              <w:rPr>
                <w:rFonts w:hint="eastAsia" w:ascii="宋体" w:hAnsi="宋体" w:eastAsia="宋体" w:cs="宋体"/>
                <w:b/>
                <w:bCs/>
                <w:color w:val="auto"/>
                <w:sz w:val="24"/>
                <w:szCs w:val="24"/>
                <w:highlight w:val="none"/>
              </w:rPr>
              <w:t>分</w:t>
            </w:r>
          </w:p>
        </w:tc>
      </w:tr>
      <w:tr w14:paraId="682B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634" w:type="pct"/>
            <w:vMerge w:val="continue"/>
            <w:tcBorders>
              <w:left w:val="single" w:color="auto" w:sz="4" w:space="0"/>
              <w:right w:val="single" w:color="auto" w:sz="4" w:space="0"/>
            </w:tcBorders>
            <w:vAlign w:val="center"/>
          </w:tcPr>
          <w:p w14:paraId="5EC2F971">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p>
        </w:tc>
        <w:tc>
          <w:tcPr>
            <w:tcW w:w="549" w:type="pct"/>
            <w:tcBorders>
              <w:top w:val="single" w:color="auto" w:sz="4" w:space="0"/>
              <w:left w:val="single" w:color="auto" w:sz="4" w:space="0"/>
              <w:right w:val="single" w:color="auto" w:sz="4" w:space="0"/>
            </w:tcBorders>
            <w:vAlign w:val="center"/>
          </w:tcPr>
          <w:p w14:paraId="0E930650">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color w:val="auto"/>
                <w:sz w:val="24"/>
                <w:szCs w:val="24"/>
                <w:highlight w:val="none"/>
                <w:lang w:eastAsia="zh-CN" w:bidi="zh-CN"/>
              </w:rPr>
            </w:pPr>
            <w:r>
              <w:rPr>
                <w:rFonts w:hint="eastAsia" w:ascii="宋体" w:hAnsi="宋体" w:eastAsia="宋体" w:cs="宋体"/>
                <w:color w:val="auto"/>
                <w:sz w:val="24"/>
                <w:szCs w:val="24"/>
                <w:highlight w:val="none"/>
                <w:lang w:bidi="zh-CN"/>
              </w:rPr>
              <w:t>产品质量承诺</w:t>
            </w:r>
          </w:p>
        </w:tc>
        <w:tc>
          <w:tcPr>
            <w:tcW w:w="3289" w:type="pct"/>
            <w:tcBorders>
              <w:top w:val="single" w:color="auto" w:sz="4" w:space="0"/>
              <w:left w:val="single" w:color="auto" w:sz="4" w:space="0"/>
              <w:right w:val="single" w:color="auto" w:sz="4" w:space="0"/>
            </w:tcBorders>
            <w:vAlign w:val="center"/>
          </w:tcPr>
          <w:p w14:paraId="450AF086">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投标供应商承诺中标后3个工作日内按</w:t>
            </w:r>
            <w:r>
              <w:rPr>
                <w:rFonts w:hint="eastAsia" w:ascii="宋体" w:hAnsi="宋体" w:eastAsia="宋体" w:cs="宋体"/>
                <w:color w:val="auto"/>
                <w:sz w:val="24"/>
                <w:szCs w:val="24"/>
                <w:highlight w:val="none"/>
                <w:lang w:val="en-US" w:eastAsia="zh-CN" w:bidi="zh-CN"/>
              </w:rPr>
              <w:t>采购人</w:t>
            </w:r>
            <w:r>
              <w:rPr>
                <w:rFonts w:hint="eastAsia" w:ascii="宋体" w:hAnsi="宋体" w:eastAsia="宋体" w:cs="宋体"/>
                <w:color w:val="auto"/>
                <w:sz w:val="24"/>
                <w:szCs w:val="24"/>
                <w:highlight w:val="none"/>
                <w:lang w:bidi="zh-CN"/>
              </w:rPr>
              <w:t>要求</w:t>
            </w:r>
            <w:r>
              <w:rPr>
                <w:rFonts w:hint="eastAsia" w:ascii="宋体" w:hAnsi="宋体" w:eastAsia="宋体" w:cs="宋体"/>
                <w:color w:val="auto"/>
                <w:sz w:val="24"/>
                <w:szCs w:val="24"/>
                <w:highlight w:val="none"/>
                <w:lang w:val="en-US" w:eastAsia="zh-CN" w:bidi="zh-CN"/>
              </w:rPr>
              <w:t>现场</w:t>
            </w:r>
            <w:r>
              <w:rPr>
                <w:rFonts w:hint="eastAsia" w:ascii="宋体" w:hAnsi="宋体" w:eastAsia="宋体" w:cs="宋体"/>
                <w:color w:val="auto"/>
                <w:sz w:val="24"/>
                <w:szCs w:val="24"/>
                <w:highlight w:val="none"/>
                <w:lang w:bidi="zh-CN"/>
              </w:rPr>
              <w:t>提供产品完整演示，演示无法满足技术响应要求的，则认定存在虚假响应</w:t>
            </w:r>
            <w:r>
              <w:rPr>
                <w:rFonts w:hint="eastAsia" w:ascii="宋体" w:hAnsi="宋体" w:eastAsia="宋体" w:cs="宋体"/>
                <w:color w:val="auto"/>
                <w:sz w:val="24"/>
                <w:szCs w:val="24"/>
                <w:highlight w:val="none"/>
                <w:lang w:eastAsia="zh-CN" w:bidi="zh-CN"/>
              </w:rPr>
              <w:t>，</w:t>
            </w:r>
            <w:r>
              <w:rPr>
                <w:rFonts w:hint="eastAsia" w:ascii="宋体" w:hAnsi="宋体" w:eastAsia="宋体" w:cs="宋体"/>
                <w:color w:val="auto"/>
                <w:sz w:val="24"/>
                <w:szCs w:val="24"/>
                <w:highlight w:val="none"/>
                <w:lang w:val="en-US" w:eastAsia="zh-CN" w:bidi="zh-CN"/>
              </w:rPr>
              <w:t>中标无效</w:t>
            </w:r>
            <w:r>
              <w:rPr>
                <w:rFonts w:hint="eastAsia" w:ascii="宋体" w:hAnsi="宋体" w:eastAsia="宋体" w:cs="宋体"/>
                <w:color w:val="auto"/>
                <w:sz w:val="24"/>
                <w:szCs w:val="24"/>
                <w:highlight w:val="none"/>
                <w:lang w:bidi="zh-CN"/>
              </w:rPr>
              <w:t>，并追究其相关责任。提供承诺函得1分，不提供者得0分。</w:t>
            </w:r>
          </w:p>
          <w:p w14:paraId="4174F8BF">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b/>
                <w:bCs/>
                <w:color w:val="auto"/>
                <w:sz w:val="24"/>
                <w:szCs w:val="24"/>
                <w:highlight w:val="none"/>
                <w:lang w:bidi="zh-CN"/>
              </w:rPr>
              <w:t>注：提供加盖投标人公章的承诺书（格式自拟）。</w:t>
            </w:r>
          </w:p>
        </w:tc>
        <w:tc>
          <w:tcPr>
            <w:tcW w:w="527" w:type="pct"/>
            <w:tcBorders>
              <w:top w:val="single" w:color="auto" w:sz="4" w:space="0"/>
              <w:left w:val="single" w:color="auto" w:sz="4" w:space="0"/>
              <w:bottom w:val="single" w:color="auto" w:sz="4" w:space="0"/>
              <w:right w:val="single" w:color="auto" w:sz="4" w:space="0"/>
            </w:tcBorders>
            <w:vAlign w:val="center"/>
          </w:tcPr>
          <w:p w14:paraId="7A855571">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分</w:t>
            </w:r>
          </w:p>
        </w:tc>
      </w:tr>
      <w:tr w14:paraId="5698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634" w:type="pct"/>
            <w:vMerge w:val="continue"/>
            <w:tcBorders>
              <w:left w:val="single" w:color="auto" w:sz="4" w:space="0"/>
              <w:right w:val="single" w:color="auto" w:sz="4" w:space="0"/>
            </w:tcBorders>
            <w:vAlign w:val="center"/>
          </w:tcPr>
          <w:p w14:paraId="579633F9">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p>
        </w:tc>
        <w:tc>
          <w:tcPr>
            <w:tcW w:w="549" w:type="pct"/>
            <w:tcBorders>
              <w:top w:val="single" w:color="auto" w:sz="4" w:space="0"/>
              <w:left w:val="single" w:color="auto" w:sz="4" w:space="0"/>
              <w:right w:val="single" w:color="auto" w:sz="4" w:space="0"/>
            </w:tcBorders>
            <w:vAlign w:val="center"/>
          </w:tcPr>
          <w:p w14:paraId="64F8758E">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产品</w:t>
            </w:r>
            <w:r>
              <w:rPr>
                <w:rFonts w:hint="eastAsia" w:ascii="宋体" w:hAnsi="宋体" w:eastAsia="宋体" w:cs="宋体"/>
                <w:color w:val="auto"/>
                <w:sz w:val="24"/>
                <w:szCs w:val="24"/>
                <w:highlight w:val="none"/>
                <w:lang w:val="en-US" w:eastAsia="zh-CN" w:bidi="zh-CN"/>
              </w:rPr>
              <w:t>及售后服务</w:t>
            </w:r>
            <w:r>
              <w:rPr>
                <w:rFonts w:hint="eastAsia" w:ascii="宋体" w:hAnsi="宋体" w:eastAsia="宋体" w:cs="宋体"/>
                <w:color w:val="auto"/>
                <w:sz w:val="24"/>
                <w:szCs w:val="24"/>
                <w:highlight w:val="none"/>
                <w:lang w:bidi="zh-CN"/>
              </w:rPr>
              <w:t>方案</w:t>
            </w:r>
          </w:p>
        </w:tc>
        <w:tc>
          <w:tcPr>
            <w:tcW w:w="3289" w:type="pct"/>
            <w:tcBorders>
              <w:top w:val="single" w:color="auto" w:sz="4" w:space="0"/>
              <w:left w:val="single" w:color="auto" w:sz="4" w:space="0"/>
              <w:right w:val="single" w:color="auto" w:sz="4" w:space="0"/>
            </w:tcBorders>
            <w:vAlign w:val="center"/>
          </w:tcPr>
          <w:p w14:paraId="21C69E73">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供应商需能结合项目需求提供详细方案，未提供方案不得分，方案内容包括但不限于：</w:t>
            </w:r>
          </w:p>
          <w:p w14:paraId="28B3DCE6">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1.项目需求分析</w:t>
            </w:r>
          </w:p>
          <w:p w14:paraId="43A1C86F">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2.项目架构及功能方案</w:t>
            </w:r>
          </w:p>
          <w:p w14:paraId="22787F99">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3.项目实施与验收方案</w:t>
            </w:r>
          </w:p>
          <w:p w14:paraId="6D70BEFF">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4.培训方案</w:t>
            </w:r>
          </w:p>
          <w:p w14:paraId="0B41D1AF">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5.售后方案</w:t>
            </w:r>
          </w:p>
          <w:p w14:paraId="44FC1965">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（1）方案包含全部5项内容，且具有针对性、合理性、完整性、实用性、可行性的，得5分；</w:t>
            </w:r>
          </w:p>
          <w:p w14:paraId="16671F3F">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（2）方案仅包含3-4项内容或者虽包含全部5项内容，但方案较为简单，实用性、可行性一般的，得3分；</w:t>
            </w:r>
          </w:p>
          <w:p w14:paraId="17F93FF1">
            <w:pPr>
              <w:keepNext w:val="0"/>
              <w:keepLines w:val="0"/>
              <w:pageBreakBefore w:val="0"/>
              <w:widowControl w:val="0"/>
              <w:wordWrap w:val="0"/>
              <w:topLinePunct w:val="0"/>
              <w:bidi w:val="0"/>
              <w:spacing w:line="440" w:lineRule="exact"/>
              <w:textAlignment w:val="auto"/>
              <w:rPr>
                <w:rFonts w:hint="eastAsia" w:ascii="宋体" w:hAnsi="宋体" w:eastAsia="宋体" w:cs="宋体"/>
                <w:b/>
                <w:bCs/>
                <w:color w:val="auto"/>
                <w:sz w:val="24"/>
                <w:szCs w:val="24"/>
                <w:highlight w:val="none"/>
                <w:lang w:bidi="zh-CN"/>
              </w:rPr>
            </w:pPr>
            <w:r>
              <w:rPr>
                <w:rFonts w:hint="eastAsia" w:ascii="宋体" w:hAnsi="宋体" w:eastAsia="宋体" w:cs="宋体"/>
                <w:color w:val="auto"/>
                <w:sz w:val="24"/>
                <w:szCs w:val="24"/>
                <w:highlight w:val="none"/>
                <w:lang w:val="en-US" w:eastAsia="zh-CN" w:bidi="zh-CN"/>
              </w:rPr>
              <w:t>（3）方案不够完整、具体，实用性可行性较差的，得1分。</w:t>
            </w:r>
          </w:p>
        </w:tc>
        <w:tc>
          <w:tcPr>
            <w:tcW w:w="527" w:type="pct"/>
            <w:tcBorders>
              <w:top w:val="single" w:color="auto" w:sz="4" w:space="0"/>
              <w:left w:val="single" w:color="auto" w:sz="4" w:space="0"/>
              <w:bottom w:val="single" w:color="auto" w:sz="4" w:space="0"/>
              <w:right w:val="single" w:color="auto" w:sz="4" w:space="0"/>
            </w:tcBorders>
            <w:vAlign w:val="center"/>
          </w:tcPr>
          <w:p w14:paraId="7DFAED82">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0DA7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634" w:type="pct"/>
            <w:tcBorders>
              <w:left w:val="single" w:color="auto" w:sz="4" w:space="0"/>
              <w:right w:val="single" w:color="auto" w:sz="4" w:space="0"/>
            </w:tcBorders>
            <w:vAlign w:val="center"/>
          </w:tcPr>
          <w:p w14:paraId="6846161E">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价格分</w:t>
            </w:r>
          </w:p>
          <w:p w14:paraId="63CB6E30">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color w:val="auto"/>
                <w:sz w:val="24"/>
                <w:szCs w:val="24"/>
                <w:highlight w:val="none"/>
                <w:lang w:bidi="zh-CN"/>
              </w:rPr>
            </w:pPr>
            <w:r>
              <w:rPr>
                <w:rFonts w:hint="eastAsia" w:ascii="宋体" w:hAnsi="宋体" w:eastAsia="宋体" w:cs="宋体"/>
                <w:b/>
                <w:bCs/>
                <w:color w:val="auto"/>
                <w:sz w:val="24"/>
                <w:szCs w:val="24"/>
                <w:highlight w:val="none"/>
                <w:lang w:bidi="zh-CN"/>
              </w:rPr>
              <w:t>（</w:t>
            </w:r>
            <w:r>
              <w:rPr>
                <w:rFonts w:hint="eastAsia" w:ascii="宋体" w:hAnsi="宋体" w:eastAsia="宋体" w:cs="宋体"/>
                <w:b/>
                <w:bCs/>
                <w:color w:val="auto"/>
                <w:sz w:val="24"/>
                <w:szCs w:val="24"/>
                <w:highlight w:val="none"/>
                <w:lang w:val="en-US" w:eastAsia="zh-CN" w:bidi="zh-CN"/>
              </w:rPr>
              <w:t>30</w:t>
            </w:r>
            <w:r>
              <w:rPr>
                <w:rFonts w:hint="eastAsia" w:ascii="宋体" w:hAnsi="宋体" w:eastAsia="宋体" w:cs="宋体"/>
                <w:b/>
                <w:bCs/>
                <w:color w:val="auto"/>
                <w:sz w:val="24"/>
                <w:szCs w:val="24"/>
                <w:highlight w:val="none"/>
                <w:lang w:bidi="zh-CN"/>
              </w:rPr>
              <w:t>分）</w:t>
            </w:r>
          </w:p>
        </w:tc>
        <w:tc>
          <w:tcPr>
            <w:tcW w:w="4365" w:type="pct"/>
            <w:gridSpan w:val="3"/>
            <w:tcBorders>
              <w:top w:val="single" w:color="auto" w:sz="4" w:space="0"/>
              <w:left w:val="single" w:color="auto" w:sz="4" w:space="0"/>
              <w:right w:val="single" w:color="auto" w:sz="4" w:space="0"/>
            </w:tcBorders>
            <w:vAlign w:val="center"/>
          </w:tcPr>
          <w:p w14:paraId="0F1B2A38">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bidi="zh-CN"/>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lang w:val="en-US" w:eastAsia="zh-CN" w:bidi="zh-CN"/>
              </w:rPr>
              <w:t>30</w:t>
            </w:r>
            <w:r>
              <w:rPr>
                <w:rFonts w:hint="eastAsia" w:ascii="宋体" w:hAnsi="宋体" w:eastAsia="宋体" w:cs="宋体"/>
                <w:color w:val="auto"/>
                <w:sz w:val="24"/>
                <w:szCs w:val="24"/>
                <w:highlight w:val="none"/>
                <w:lang w:bidi="zh-CN"/>
              </w:rPr>
              <w:t>分。其他投标人的价格分统一按照下列公式计算：投标报价得分＝（评标基准价/投标报价）×</w:t>
            </w:r>
            <w:r>
              <w:rPr>
                <w:rFonts w:hint="eastAsia" w:ascii="宋体" w:hAnsi="宋体" w:eastAsia="宋体" w:cs="宋体"/>
                <w:color w:val="auto"/>
                <w:sz w:val="24"/>
                <w:szCs w:val="24"/>
                <w:highlight w:val="none"/>
                <w:lang w:val="en-US" w:eastAsia="zh-CN" w:bidi="zh-CN"/>
              </w:rPr>
              <w:t>30</w:t>
            </w:r>
            <w:r>
              <w:rPr>
                <w:rFonts w:hint="eastAsia" w:ascii="宋体" w:hAnsi="宋体" w:eastAsia="宋体" w:cs="宋体"/>
                <w:color w:val="auto"/>
                <w:sz w:val="24"/>
                <w:szCs w:val="24"/>
                <w:highlight w:val="none"/>
                <w:lang w:bidi="zh-CN"/>
              </w:rPr>
              <w:t>％×100</w:t>
            </w:r>
          </w:p>
        </w:tc>
      </w:tr>
    </w:tbl>
    <w:p w14:paraId="72037C7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2.3.3分值汇总</w:t>
      </w:r>
    </w:p>
    <w:p w14:paraId="0ACBDBB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49B8011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（2）将投标人的技术资信分加上根据上述标准计算出的价格分，即为该投标人的综合总得分。</w:t>
      </w:r>
    </w:p>
    <w:p w14:paraId="330FEAB6">
      <w:pPr>
        <w:spacing w:line="360" w:lineRule="auto"/>
        <w:ind w:firstLine="435"/>
        <w:rPr>
          <w:rFonts w:hint="eastAsia" w:asciiTheme="minorEastAsia" w:hAnsiTheme="minorEastAsia" w:eastAsiaTheme="minorEastAsia"/>
          <w:color w:val="auto"/>
          <w:sz w:val="24"/>
          <w:highlight w:val="none"/>
        </w:rPr>
      </w:pPr>
    </w:p>
    <w:p w14:paraId="516B1A67">
      <w:pPr>
        <w:spacing w:line="360" w:lineRule="auto"/>
        <w:ind w:firstLine="435"/>
        <w:rPr>
          <w:rFonts w:hint="eastAsia" w:asciiTheme="minorEastAsia" w:hAnsiTheme="minorEastAsia" w:eastAsiaTheme="minorEastAsia"/>
          <w:color w:val="auto"/>
          <w:sz w:val="24"/>
          <w:highlight w:val="none"/>
        </w:rPr>
      </w:pPr>
    </w:p>
    <w:p w14:paraId="3E9982E1">
      <w:pPr>
        <w:widowControl/>
        <w:jc w:val="center"/>
        <w:outlineLvl w:val="0"/>
        <w:rPr>
          <w:rFonts w:hint="eastAsia" w:asciiTheme="minorEastAsia" w:hAnsiTheme="minorEastAsia" w:eastAsiaTheme="minorEastAsia"/>
          <w:b/>
          <w:color w:val="auto"/>
          <w:sz w:val="28"/>
          <w:highlight w:val="none"/>
        </w:rPr>
      </w:pPr>
      <w:bookmarkStart w:id="70" w:name="_Toc7791"/>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70"/>
    </w:p>
    <w:p w14:paraId="223EC7D5">
      <w:pPr>
        <w:pStyle w:val="9"/>
        <w:spacing w:after="0" w:line="360" w:lineRule="auto"/>
        <w:jc w:val="center"/>
        <w:rPr>
          <w:rFonts w:hint="eastAsia" w:ascii="宋体" w:hAnsi="宋体" w:eastAsia="宋体" w:cs="宋体"/>
          <w:b/>
          <w:bCs/>
          <w:color w:val="auto"/>
          <w:spacing w:val="-20"/>
          <w:kern w:val="44"/>
          <w:sz w:val="24"/>
          <w:highlight w:val="none"/>
        </w:rPr>
      </w:pPr>
    </w:p>
    <w:p w14:paraId="5D8504E7">
      <w:pPr>
        <w:pStyle w:val="9"/>
        <w:spacing w:after="0" w:line="360" w:lineRule="auto"/>
        <w:jc w:val="center"/>
        <w:rPr>
          <w:rFonts w:hint="eastAsia" w:ascii="宋体" w:hAnsi="宋体" w:eastAsia="宋体" w:cs="宋体"/>
          <w:b/>
          <w:bCs/>
          <w:color w:val="auto"/>
          <w:spacing w:val="-20"/>
          <w:kern w:val="44"/>
          <w:sz w:val="24"/>
          <w:highlight w:val="none"/>
        </w:rPr>
      </w:pPr>
    </w:p>
    <w:p w14:paraId="5319F98B">
      <w:pPr>
        <w:pStyle w:val="9"/>
        <w:spacing w:after="0" w:line="360" w:lineRule="auto"/>
        <w:jc w:val="center"/>
        <w:rPr>
          <w:rFonts w:hint="eastAsia" w:ascii="宋体" w:hAnsi="宋体" w:eastAsia="宋体" w:cs="宋体"/>
          <w:b/>
          <w:bCs/>
          <w:color w:val="auto"/>
          <w:spacing w:val="-20"/>
          <w:kern w:val="44"/>
          <w:sz w:val="24"/>
          <w:highlight w:val="none"/>
        </w:rPr>
      </w:pPr>
    </w:p>
    <w:p w14:paraId="26872B5B">
      <w:pPr>
        <w:pStyle w:val="9"/>
        <w:spacing w:after="0" w:line="360" w:lineRule="auto"/>
        <w:jc w:val="center"/>
        <w:rPr>
          <w:rFonts w:hint="eastAsia" w:ascii="宋体" w:hAnsi="宋体" w:eastAsia="宋体" w:cs="宋体"/>
          <w:b/>
          <w:bCs/>
          <w:color w:val="auto"/>
          <w:spacing w:val="-20"/>
          <w:kern w:val="44"/>
          <w:sz w:val="24"/>
          <w:highlight w:val="none"/>
        </w:rPr>
      </w:pPr>
    </w:p>
    <w:p w14:paraId="2A96FE14">
      <w:pPr>
        <w:spacing w:line="360" w:lineRule="auto"/>
        <w:rPr>
          <w:rFonts w:hint="eastAsia" w:ascii="宋体" w:hAnsi="宋体" w:eastAsia="宋体" w:cs="宋体"/>
          <w:b/>
          <w:bCs/>
          <w:color w:val="auto"/>
          <w:spacing w:val="-20"/>
          <w:kern w:val="44"/>
          <w:sz w:val="24"/>
          <w:szCs w:val="24"/>
          <w:highlight w:val="none"/>
        </w:rPr>
      </w:pPr>
    </w:p>
    <w:p w14:paraId="1FEDCB69">
      <w:pPr>
        <w:pStyle w:val="9"/>
        <w:spacing w:after="0" w:line="360" w:lineRule="auto"/>
        <w:jc w:val="center"/>
        <w:rPr>
          <w:rFonts w:hint="default" w:ascii="宋体" w:hAnsi="宋体" w:eastAsia="宋体" w:cs="宋体"/>
          <w:b/>
          <w:bCs/>
          <w:color w:val="auto"/>
          <w:spacing w:val="-20"/>
          <w:kern w:val="44"/>
          <w:sz w:val="30"/>
          <w:szCs w:val="30"/>
          <w:highlight w:val="none"/>
          <w:lang w:val="en-US" w:eastAsia="zh-CN"/>
        </w:rPr>
      </w:pPr>
      <w:r>
        <w:rPr>
          <w:rFonts w:hint="eastAsia" w:ascii="宋体" w:hAnsi="宋体" w:eastAsia="宋体" w:cs="宋体"/>
          <w:b/>
          <w:bCs/>
          <w:color w:val="auto"/>
          <w:spacing w:val="-20"/>
          <w:kern w:val="44"/>
          <w:sz w:val="30"/>
          <w:szCs w:val="30"/>
          <w:highlight w:val="none"/>
          <w:lang w:val="en-US" w:eastAsia="zh-CN"/>
        </w:rPr>
        <w:t>（此格式合格仅供参考）</w:t>
      </w:r>
    </w:p>
    <w:p w14:paraId="6601373E">
      <w:pPr>
        <w:pStyle w:val="9"/>
        <w:rPr>
          <w:rFonts w:hint="eastAsia" w:ascii="宋体" w:hAnsi="宋体" w:eastAsia="宋体" w:cs="宋体"/>
          <w:b/>
          <w:bCs/>
          <w:color w:val="auto"/>
          <w:spacing w:val="-20"/>
          <w:kern w:val="44"/>
          <w:sz w:val="24"/>
          <w:highlight w:val="none"/>
        </w:rPr>
      </w:pPr>
    </w:p>
    <w:p w14:paraId="3333A1FA">
      <w:pPr>
        <w:pStyle w:val="9"/>
        <w:rPr>
          <w:rFonts w:hint="eastAsia" w:ascii="宋体" w:hAnsi="宋体" w:eastAsia="宋体" w:cs="宋体"/>
          <w:b/>
          <w:bCs/>
          <w:color w:val="auto"/>
          <w:spacing w:val="-20"/>
          <w:kern w:val="44"/>
          <w:sz w:val="24"/>
          <w:highlight w:val="none"/>
        </w:rPr>
      </w:pPr>
    </w:p>
    <w:p w14:paraId="5ED9C677">
      <w:pPr>
        <w:spacing w:line="360" w:lineRule="auto"/>
        <w:rPr>
          <w:rFonts w:hint="eastAsia" w:ascii="宋体" w:hAnsi="宋体" w:eastAsia="宋体" w:cs="宋体"/>
          <w:b/>
          <w:bCs/>
          <w:color w:val="auto"/>
          <w:spacing w:val="-20"/>
          <w:kern w:val="44"/>
          <w:sz w:val="24"/>
          <w:szCs w:val="24"/>
          <w:highlight w:val="none"/>
        </w:rPr>
      </w:pPr>
    </w:p>
    <w:p w14:paraId="639FAA7B">
      <w:pPr>
        <w:pStyle w:val="9"/>
        <w:spacing w:line="360" w:lineRule="auto"/>
        <w:rPr>
          <w:rFonts w:hint="eastAsia"/>
          <w:color w:val="auto"/>
          <w:highlight w:val="none"/>
        </w:rPr>
      </w:pPr>
    </w:p>
    <w:p w14:paraId="7F5C160F">
      <w:pPr>
        <w:spacing w:line="360" w:lineRule="auto"/>
        <w:rPr>
          <w:rFonts w:hint="eastAsia" w:ascii="宋体" w:hAnsi="宋体" w:eastAsia="宋体" w:cs="宋体"/>
          <w:b/>
          <w:bCs/>
          <w:color w:val="auto"/>
          <w:spacing w:val="-20"/>
          <w:kern w:val="44"/>
          <w:sz w:val="24"/>
          <w:szCs w:val="24"/>
          <w:highlight w:val="none"/>
        </w:rPr>
      </w:pPr>
    </w:p>
    <w:p w14:paraId="0AC73470">
      <w:pPr>
        <w:keepNext w:val="0"/>
        <w:keepLines w:val="0"/>
        <w:pageBreakBefore w:val="0"/>
        <w:widowControl w:val="0"/>
        <w:kinsoku/>
        <w:wordWrap/>
        <w:overflowPunct/>
        <w:topLinePunct w:val="0"/>
        <w:autoSpaceDE/>
        <w:autoSpaceDN/>
        <w:bidi w:val="0"/>
        <w:adjustRightInd/>
        <w:snapToGrid/>
        <w:spacing w:line="480" w:lineRule="auto"/>
        <w:ind w:left="420" w:leftChars="200"/>
        <w:textAlignment w:val="auto"/>
        <w:rPr>
          <w:rFonts w:hint="eastAsia" w:ascii="宋体" w:hAnsi="宋体" w:eastAsia="宋体" w:cs="Times New Roman"/>
          <w:i/>
          <w:iCs/>
          <w:color w:val="auto"/>
          <w:sz w:val="24"/>
          <w:szCs w:val="24"/>
          <w:highlight w:val="non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p>
    <w:p w14:paraId="17337140">
      <w:pPr>
        <w:keepNext w:val="0"/>
        <w:keepLines w:val="0"/>
        <w:pageBreakBefore w:val="0"/>
        <w:widowControl w:val="0"/>
        <w:kinsoku/>
        <w:wordWrap/>
        <w:overflowPunct/>
        <w:topLinePunct w:val="0"/>
        <w:autoSpaceDE/>
        <w:autoSpaceDN/>
        <w:bidi w:val="0"/>
        <w:adjustRightInd/>
        <w:snapToGrid/>
        <w:spacing w:line="48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14:paraId="2B8C5F72">
      <w:pPr>
        <w:keepNext w:val="0"/>
        <w:keepLines w:val="0"/>
        <w:pageBreakBefore w:val="0"/>
        <w:widowControl w:val="0"/>
        <w:kinsoku/>
        <w:wordWrap/>
        <w:overflowPunct/>
        <w:topLinePunct w:val="0"/>
        <w:autoSpaceDE/>
        <w:autoSpaceDN/>
        <w:bidi w:val="0"/>
        <w:adjustRightInd/>
        <w:snapToGrid/>
        <w:spacing w:line="48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43365EEC">
      <w:pPr>
        <w:keepNext w:val="0"/>
        <w:keepLines w:val="0"/>
        <w:pageBreakBefore w:val="0"/>
        <w:widowControl w:val="0"/>
        <w:kinsoku/>
        <w:wordWrap/>
        <w:overflowPunct/>
        <w:topLinePunct w:val="0"/>
        <w:autoSpaceDE/>
        <w:autoSpaceDN/>
        <w:bidi w:val="0"/>
        <w:adjustRightInd/>
        <w:snapToGrid/>
        <w:spacing w:line="48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滁州市第一人民医院</w:t>
      </w:r>
    </w:p>
    <w:p w14:paraId="17E45AA7">
      <w:pPr>
        <w:keepNext w:val="0"/>
        <w:keepLines w:val="0"/>
        <w:pageBreakBefore w:val="0"/>
        <w:widowControl w:val="0"/>
        <w:kinsoku/>
        <w:wordWrap/>
        <w:overflowPunct/>
        <w:topLinePunct w:val="0"/>
        <w:autoSpaceDE/>
        <w:autoSpaceDN/>
        <w:bidi w:val="0"/>
        <w:adjustRightInd/>
        <w:snapToGrid/>
        <w:spacing w:line="48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E76871F">
      <w:pPr>
        <w:keepNext w:val="0"/>
        <w:keepLines w:val="0"/>
        <w:pageBreakBefore w:val="0"/>
        <w:widowControl w:val="0"/>
        <w:kinsoku/>
        <w:wordWrap/>
        <w:overflowPunct/>
        <w:topLinePunct w:val="0"/>
        <w:autoSpaceDE/>
        <w:autoSpaceDN/>
        <w:bidi w:val="0"/>
        <w:adjustRightInd/>
        <w:snapToGrid/>
        <w:spacing w:line="48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142A6A8F">
      <w:pPr>
        <w:spacing w:line="360" w:lineRule="auto"/>
        <w:rPr>
          <w:rFonts w:hint="eastAsia" w:ascii="宋体" w:hAnsi="宋体" w:eastAsia="宋体" w:cs="宋体"/>
          <w:color w:val="auto"/>
          <w:sz w:val="24"/>
          <w:szCs w:val="24"/>
          <w:highlight w:val="none"/>
        </w:rPr>
      </w:pPr>
    </w:p>
    <w:p w14:paraId="3A46AF9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2701B79">
      <w:pPr>
        <w:spacing w:line="360" w:lineRule="auto"/>
        <w:ind w:firstLine="480" w:firstLineChars="200"/>
        <w:rPr>
          <w:rFonts w:hint="eastAsia" w:ascii="宋体" w:hAnsi="宋体" w:eastAsia="宋体" w:cs="宋体"/>
          <w:color w:val="auto"/>
          <w:sz w:val="24"/>
          <w:szCs w:val="24"/>
          <w:highlight w:val="none"/>
        </w:rPr>
        <w:sectPr>
          <w:headerReference r:id="rId4" w:type="default"/>
          <w:footerReference r:id="rId5" w:type="default"/>
          <w:pgSz w:w="11906" w:h="16838"/>
          <w:pgMar w:top="1440" w:right="1800" w:bottom="1440" w:left="1800" w:header="851" w:footer="992" w:gutter="0"/>
          <w:pgNumType w:start="1"/>
          <w:cols w:space="425" w:num="1"/>
          <w:docGrid w:type="lines" w:linePitch="312" w:charSpace="0"/>
        </w:sectPr>
      </w:pPr>
    </w:p>
    <w:p w14:paraId="15D458BF">
      <w:pPr>
        <w:spacing w:line="360" w:lineRule="auto"/>
        <w:jc w:val="center"/>
        <w:outlineLvl w:val="1"/>
        <w:rPr>
          <w:rFonts w:hint="eastAsia" w:ascii="宋体" w:hAnsi="宋体" w:eastAsia="宋体"/>
          <w:b/>
          <w:color w:val="auto"/>
          <w:sz w:val="24"/>
          <w:highlight w:val="none"/>
        </w:rPr>
      </w:pPr>
      <w:bookmarkStart w:id="71" w:name="_Toc25814"/>
      <w:bookmarkStart w:id="72" w:name="_Toc22209"/>
      <w:r>
        <w:rPr>
          <w:rFonts w:hint="eastAsia" w:ascii="宋体" w:hAnsi="宋体" w:eastAsia="宋体"/>
          <w:b/>
          <w:color w:val="auto"/>
          <w:sz w:val="24"/>
          <w:highlight w:val="none"/>
        </w:rPr>
        <w:t>第一节 政府采购合同协议书</w:t>
      </w:r>
      <w:bookmarkEnd w:id="71"/>
      <w:bookmarkEnd w:id="72"/>
    </w:p>
    <w:p w14:paraId="0E5D5595">
      <w:pPr>
        <w:adjustRightInd w:val="0"/>
        <w:snapToGrid w:val="0"/>
        <w:spacing w:line="360" w:lineRule="auto"/>
        <w:rPr>
          <w:rFonts w:hint="eastAsia" w:ascii="宋体" w:hAnsi="宋体" w:eastAsia="宋体" w:cs="宋体"/>
          <w:color w:val="auto"/>
          <w:sz w:val="24"/>
          <w:szCs w:val="24"/>
          <w:highlight w:val="none"/>
        </w:rPr>
      </w:pPr>
    </w:p>
    <w:p w14:paraId="2DA8DF77">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滁州市第一人民医院</w:t>
      </w:r>
    </w:p>
    <w:p w14:paraId="4291A3C2">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684426E9">
      <w:pPr>
        <w:pStyle w:val="10"/>
        <w:keepNext w:val="0"/>
        <w:keepLines w:val="0"/>
        <w:pageBreakBefore w:val="0"/>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依据《中华人民共和国民法典》、《中华人民共和国政府采购法》等有关的法律法规，以及本采购项目的招标等采购文件、乙方的《投标（响应）文件》及《中标（成交）通知书》，甲乙双方同意签订本合同。具体情况及要求如下：     </w:t>
      </w:r>
    </w:p>
    <w:p w14:paraId="1995A5E5">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1D09EF3A">
      <w:pPr>
        <w:pStyle w:val="10"/>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lang w:eastAsia="zh-CN"/>
        </w:rPr>
        <w:t>滁州市第一人民医院临床思维训练系统项目（三次）</w:t>
      </w:r>
      <w:r>
        <w:rPr>
          <w:rFonts w:hint="eastAsia" w:ascii="宋体" w:hAnsi="宋体" w:eastAsia="宋体" w:cs="宋体"/>
          <w:color w:val="auto"/>
          <w:sz w:val="24"/>
          <w:szCs w:val="24"/>
          <w:highlight w:val="none"/>
          <w:u w:val="single"/>
        </w:rPr>
        <w:t xml:space="preserve"> </w:t>
      </w:r>
    </w:p>
    <w:p w14:paraId="212B3DEB">
      <w:pPr>
        <w:pStyle w:val="10"/>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single"/>
          <w:lang w:eastAsia="zh-CN"/>
        </w:rPr>
        <w:t>CZYY-2026-30</w:t>
      </w:r>
      <w:r>
        <w:rPr>
          <w:rFonts w:hint="eastAsia" w:ascii="宋体" w:hAnsi="宋体" w:eastAsia="宋体" w:cs="宋体"/>
          <w:color w:val="auto"/>
          <w:sz w:val="24"/>
          <w:szCs w:val="24"/>
          <w:highlight w:val="none"/>
          <w:u w:val="single"/>
        </w:rPr>
        <w:t xml:space="preserve"> </w:t>
      </w:r>
    </w:p>
    <w:p w14:paraId="12F31C8B">
      <w:pPr>
        <w:pStyle w:val="10"/>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项目内容：</w:t>
      </w:r>
    </w:p>
    <w:p w14:paraId="139AAE81">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采购标的及数量（台）：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0255292">
      <w:pPr>
        <w:keepNext w:val="0"/>
        <w:keepLines w:val="0"/>
        <w:pageBreakBefore w:val="0"/>
        <w:numPr>
          <w:ilvl w:val="255"/>
          <w:numId w:val="0"/>
        </w:numPr>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品牌：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规格型号：</w:t>
      </w:r>
      <w:r>
        <w:rPr>
          <w:rFonts w:hint="eastAsia" w:ascii="宋体" w:hAnsi="宋体" w:eastAsia="宋体" w:cs="宋体"/>
          <w:color w:val="auto"/>
          <w:sz w:val="24"/>
          <w:szCs w:val="24"/>
          <w:highlight w:val="none"/>
          <w:u w:val="single"/>
        </w:rPr>
        <w:t xml:space="preserve">               </w:t>
      </w:r>
    </w:p>
    <w:p w14:paraId="22DD7E5D">
      <w:pPr>
        <w:pStyle w:val="73"/>
        <w:keepNext w:val="0"/>
        <w:keepLines w:val="0"/>
        <w:pageBreakBefore w:val="0"/>
        <w:numPr>
          <w:ilvl w:val="255"/>
          <w:numId w:val="0"/>
        </w:numPr>
        <w:kinsoku/>
        <w:wordWrap/>
        <w:overflowPunct/>
        <w:topLinePunct w:val="0"/>
        <w:bidi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（4）政府采购组织形式：</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政府集中采购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部门集中采购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分散采购</w:t>
      </w:r>
    </w:p>
    <w:p w14:paraId="264568AA">
      <w:pPr>
        <w:pStyle w:val="73"/>
        <w:keepNext w:val="0"/>
        <w:keepLines w:val="0"/>
        <w:pageBreakBefore w:val="0"/>
        <w:numPr>
          <w:ilvl w:val="255"/>
          <w:numId w:val="0"/>
        </w:numPr>
        <w:kinsoku/>
        <w:wordWrap/>
        <w:overflowPunct/>
        <w:topLinePunct w:val="0"/>
        <w:bidi w:val="0"/>
        <w:snapToGrid w:val="0"/>
        <w:spacing w:line="5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（5）政府采购方式：</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公开招标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邀请招标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竞争性谈判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竞争性磋商</w:t>
      </w:r>
    </w:p>
    <w:p w14:paraId="4FCD020C">
      <w:pPr>
        <w:pStyle w:val="73"/>
        <w:keepNext w:val="0"/>
        <w:keepLines w:val="0"/>
        <w:pageBreakBefore w:val="0"/>
        <w:numPr>
          <w:ilvl w:val="255"/>
          <w:numId w:val="0"/>
        </w:numPr>
        <w:kinsoku/>
        <w:wordWrap/>
        <w:overflowPunct/>
        <w:topLinePunct w:val="0"/>
        <w:bidi w:val="0"/>
        <w:snapToGrid w:val="0"/>
        <w:spacing w:line="5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询价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单一来源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框架协议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06D45A5C">
      <w:pPr>
        <w:keepNext w:val="0"/>
        <w:keepLines w:val="0"/>
        <w:pageBreakBefore w:val="0"/>
        <w:numPr>
          <w:ilvl w:val="255"/>
          <w:numId w:val="0"/>
        </w:numPr>
        <w:kinsoku/>
        <w:wordWrap/>
        <w:overflowPunct/>
        <w:topLinePunct w:val="0"/>
        <w:bidi w:val="0"/>
        <w:adjustRightInd w:val="0"/>
        <w:snapToGrid w:val="0"/>
        <w:spacing w:line="500" w:lineRule="exact"/>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 xml:space="preserve">    （6）中标（成交）供应商是否为外商投资企业：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1B9B204A">
      <w:pPr>
        <w:pStyle w:val="73"/>
        <w:keepNext w:val="0"/>
        <w:keepLines w:val="0"/>
        <w:pageBreakBefore w:val="0"/>
        <w:tabs>
          <w:tab w:val="left" w:pos="1340"/>
        </w:tabs>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部分由外国投资者投资</w:t>
      </w:r>
    </w:p>
    <w:p w14:paraId="740AEFA7">
      <w:pPr>
        <w:keepNext w:val="0"/>
        <w:keepLines w:val="0"/>
        <w:pageBreakBefore w:val="0"/>
        <w:numPr>
          <w:ilvl w:val="255"/>
          <w:numId w:val="0"/>
        </w:numPr>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合同金额</w:t>
      </w:r>
    </w:p>
    <w:p w14:paraId="6298D7E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p>
    <w:p w14:paraId="1CA05520">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4DEE5EAD">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分包金额（如有）小写：</w:t>
      </w:r>
      <w:r>
        <w:rPr>
          <w:rFonts w:hint="eastAsia" w:ascii="宋体" w:hAnsi="宋体" w:eastAsia="宋体" w:cs="宋体"/>
          <w:color w:val="auto"/>
          <w:sz w:val="24"/>
          <w:szCs w:val="24"/>
          <w:highlight w:val="none"/>
          <w:u w:val="single"/>
        </w:rPr>
        <w:t xml:space="preserve">                   </w:t>
      </w:r>
    </w:p>
    <w:p w14:paraId="4CB2F993">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091D575E">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（注：固定单价合同应填写单价和最高限价）</w:t>
      </w:r>
    </w:p>
    <w:p w14:paraId="45AD7841">
      <w:pPr>
        <w:keepNext w:val="0"/>
        <w:keepLines w:val="0"/>
        <w:pageBreakBefore w:val="0"/>
        <w:numPr>
          <w:ilvl w:val="255"/>
          <w:numId w:val="0"/>
        </w:numPr>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（2）合同定价方式（采用组合定价方式的，可以勾选多项）：</w:t>
      </w:r>
    </w:p>
    <w:p w14:paraId="2AEB3DE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固定单价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固定费率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绩效激励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1DB30DDB">
      <w:pPr>
        <w:pStyle w:val="74"/>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（3）付款方式（按项目实际勾选填写）：</w:t>
      </w:r>
    </w:p>
    <w:p w14:paraId="792747D9">
      <w:pPr>
        <w:keepNext w:val="0"/>
        <w:keepLines w:val="0"/>
        <w:pageBreakBefore w:val="0"/>
        <w:kinsoku/>
        <w:wordWrap/>
        <w:overflowPunct/>
        <w:topLinePunct w:val="0"/>
        <w:bidi w:val="0"/>
        <w:adjustRightInd w:val="0"/>
        <w:snapToGrid w:val="0"/>
        <w:spacing w:line="500" w:lineRule="exact"/>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（应明确一次性支付合同款项的条件）                    </w:t>
      </w:r>
    </w:p>
    <w:p w14:paraId="72FC3FFF">
      <w:pPr>
        <w:keepNext w:val="0"/>
        <w:keepLines w:val="0"/>
        <w:pageBreakBefore w:val="0"/>
        <w:kinsoku/>
        <w:wordWrap/>
        <w:overflowPunct/>
        <w:topLinePunct w:val="0"/>
        <w:bidi w:val="0"/>
        <w:snapToGrid w:val="0"/>
        <w:spacing w:line="500" w:lineRule="exact"/>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sz w:val="24"/>
          <w:szCs w:val="24"/>
          <w:highlight w:val="none"/>
        </w:rPr>
        <w:t>，其中涉及预付款的：</w:t>
      </w:r>
      <w:r>
        <w:rPr>
          <w:rFonts w:hint="eastAsia" w:ascii="宋体" w:hAnsi="宋体" w:eastAsia="宋体" w:cs="宋体"/>
          <w:color w:val="auto"/>
          <w:sz w:val="24"/>
          <w:szCs w:val="24"/>
          <w:highlight w:val="none"/>
          <w:u w:val="single"/>
        </w:rPr>
        <w:t xml:space="preserve"> （应明确预付款的支付比例和支付条件） </w:t>
      </w:r>
    </w:p>
    <w:p w14:paraId="523016B1">
      <w:pPr>
        <w:keepNext w:val="0"/>
        <w:keepLines w:val="0"/>
        <w:pageBreakBefore w:val="0"/>
        <w:kinsoku/>
        <w:wordWrap/>
        <w:overflowPunct/>
        <w:topLinePunct w:val="0"/>
        <w:bidi w:val="0"/>
        <w:adjustRightInd w:val="0"/>
        <w:snapToGrid w:val="0"/>
        <w:spacing w:line="500" w:lineRule="exact"/>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19E36449">
      <w:pPr>
        <w:keepNext w:val="0"/>
        <w:keepLines w:val="0"/>
        <w:pageBreakBefore w:val="0"/>
        <w:kinsoku/>
        <w:wordWrap/>
        <w:overflowPunct/>
        <w:topLinePunct w:val="0"/>
        <w:bidi w:val="0"/>
        <w:adjustRightInd w:val="0"/>
        <w:snapToGrid w:val="0"/>
        <w:spacing w:line="500" w:lineRule="exact"/>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438B1225">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合同履行</w:t>
      </w:r>
    </w:p>
    <w:p w14:paraId="4943F62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47E2EE">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（2）履约地点</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13D9A259">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否</w:t>
      </w:r>
    </w:p>
    <w:p w14:paraId="1F35FAAA">
      <w:pPr>
        <w:pStyle w:val="73"/>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t xml:space="preserve">  收取履约保证金形式：</w:t>
      </w:r>
      <w:r>
        <w:rPr>
          <w:rFonts w:hint="eastAsia" w:ascii="宋体" w:hAnsi="宋体" w:eastAsia="宋体" w:cs="宋体"/>
          <w:bCs/>
          <w:color w:val="auto"/>
          <w:sz w:val="24"/>
          <w:szCs w:val="24"/>
          <w:highlight w:val="none"/>
          <w:u w:val="single"/>
        </w:rPr>
        <w:t xml:space="preserve">                            </w:t>
      </w:r>
    </w:p>
    <w:p w14:paraId="74DE066C">
      <w:pPr>
        <w:pStyle w:val="73"/>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收取履约保证金金额：</w:t>
      </w:r>
      <w:r>
        <w:rPr>
          <w:rFonts w:hint="eastAsia" w:ascii="宋体" w:hAnsi="宋体" w:eastAsia="宋体" w:cs="宋体"/>
          <w:bCs/>
          <w:color w:val="auto"/>
          <w:sz w:val="24"/>
          <w:szCs w:val="24"/>
          <w:highlight w:val="none"/>
          <w:u w:val="single"/>
        </w:rPr>
        <w:t xml:space="preserve">                            </w:t>
      </w:r>
    </w:p>
    <w:p w14:paraId="04A9660F">
      <w:pPr>
        <w:keepNext w:val="0"/>
        <w:keepLines w:val="0"/>
        <w:pageBreakBefore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履约担保期限：</w:t>
      </w:r>
      <w:r>
        <w:rPr>
          <w:rFonts w:hint="eastAsia" w:ascii="宋体" w:hAnsi="宋体" w:eastAsia="宋体" w:cs="宋体"/>
          <w:bCs/>
          <w:color w:val="auto"/>
          <w:sz w:val="24"/>
          <w:szCs w:val="24"/>
          <w:highlight w:val="none"/>
          <w:u w:val="single"/>
        </w:rPr>
        <w:t xml:space="preserve">                                  </w:t>
      </w:r>
    </w:p>
    <w:p w14:paraId="71BCF4A2">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p>
    <w:p w14:paraId="7901EAF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（5）风险处置措施和替代方案：</w:t>
      </w:r>
      <w:r>
        <w:rPr>
          <w:rFonts w:hint="eastAsia" w:ascii="宋体" w:hAnsi="宋体" w:eastAsia="宋体" w:cs="宋体"/>
          <w:color w:val="auto"/>
          <w:sz w:val="24"/>
          <w:szCs w:val="24"/>
          <w:highlight w:val="none"/>
          <w:u w:val="single"/>
        </w:rPr>
        <w:t xml:space="preserve">                                                               </w:t>
      </w:r>
    </w:p>
    <w:p w14:paraId="59A06A09">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10C6CA">
      <w:pPr>
        <w:keepNext w:val="0"/>
        <w:keepLines w:val="0"/>
        <w:pageBreakBefore w:val="0"/>
        <w:numPr>
          <w:ilvl w:val="0"/>
          <w:numId w:val="3"/>
        </w:numPr>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70A72652">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验收主体：</w:t>
      </w:r>
      <w:r>
        <w:rPr>
          <w:rFonts w:hint="eastAsia" w:ascii="宋体" w:hAnsi="宋体" w:eastAsia="宋体" w:cs="宋体"/>
          <w:bCs/>
          <w:color w:val="auto"/>
          <w:sz w:val="24"/>
          <w:szCs w:val="24"/>
          <w:highlight w:val="none"/>
          <w:u w:val="single"/>
        </w:rPr>
        <w:t xml:space="preserve">                  </w:t>
      </w:r>
    </w:p>
    <w:p w14:paraId="57760A34">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是否邀请本项目的其他供应商参加验收：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67254D0">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B2CAD4B">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C00E825">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9D69B60">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91373BC">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u w:val="single"/>
        </w:rPr>
        <w:t>（应明确对被破坏的检测产品的处理方式）</w:t>
      </w:r>
    </w:p>
    <w:p w14:paraId="5A4BE689">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2CD7FD8C">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7526AD49">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 xml:space="preserve">（计划于何时验收/供应商提出验收申请之日起   日内组织验收） </w:t>
      </w:r>
    </w:p>
    <w:p w14:paraId="67D2CA0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1C9D0F70">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u w:val="single"/>
        </w:rPr>
        <w:t xml:space="preserve"> （应明确分期/分项验收的工作安排）  </w:t>
      </w:r>
    </w:p>
    <w:p w14:paraId="50660B8F">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75D65EE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（应当包括每一项技术和商务要求的履约情况，特别是落实政府采购扶持中小企业，支持绿色发展和乡村振兴等政策情况）                                      </w:t>
      </w:r>
    </w:p>
    <w:p w14:paraId="3C041B6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049C7446">
      <w:pPr>
        <w:pStyle w:val="73"/>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（7）是否以采购活动中供应商提供的样品作为参考：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1254ED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（产权过户登记等）          </w:t>
      </w:r>
    </w:p>
    <w:p w14:paraId="0F4E446F">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48A3FDE3">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564FCF3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（1）政府采购合同协议书及其变更、补充协议</w:t>
      </w:r>
    </w:p>
    <w:p w14:paraId="4ECD0F6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（2）政府采购合同专用条款</w:t>
      </w:r>
    </w:p>
    <w:p w14:paraId="2BD4B28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（3）政府采购合同通用条款</w:t>
      </w:r>
    </w:p>
    <w:p w14:paraId="19D1527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（4）中标（成交）通知书</w:t>
      </w:r>
    </w:p>
    <w:p w14:paraId="0E5550E9">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（5）投标（响应）文件</w:t>
      </w:r>
    </w:p>
    <w:p w14:paraId="7A0DBE8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7C53309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E7CBC59">
      <w:pPr>
        <w:pStyle w:val="73"/>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kern w:val="2"/>
          <w:sz w:val="24"/>
          <w:szCs w:val="24"/>
          <w:highlight w:val="none"/>
        </w:rPr>
        <w:t>国家法律、行政法规和规章制度规定或合同约定的作为合同组成部分的其他文件</w:t>
      </w:r>
    </w:p>
    <w:p w14:paraId="3252568F">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1BCF769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0104E250">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336AC2A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份，甲方执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份，乙方执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21BB0F63">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日合同订立地点：</w:t>
      </w:r>
      <w:r>
        <w:rPr>
          <w:rFonts w:hint="eastAsia" w:ascii="宋体" w:hAnsi="宋体" w:eastAsia="宋体" w:cs="宋体"/>
          <w:color w:val="auto"/>
          <w:sz w:val="24"/>
          <w:szCs w:val="24"/>
          <w:highlight w:val="none"/>
          <w:u w:val="single"/>
        </w:rPr>
        <w:t>滁州市第一人民医院</w:t>
      </w: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7F8157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204A123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甲方（采购人、受采购人委托签订合同的单位或采购文件约定的合同甲方）</w:t>
            </w:r>
          </w:p>
        </w:tc>
        <w:tc>
          <w:tcPr>
            <w:tcW w:w="2438" w:type="pct"/>
            <w:gridSpan w:val="2"/>
            <w:tcBorders>
              <w:left w:val="single" w:color="auto" w:sz="2" w:space="0"/>
              <w:bottom w:val="single" w:color="auto" w:sz="2" w:space="0"/>
            </w:tcBorders>
            <w:vAlign w:val="center"/>
          </w:tcPr>
          <w:p w14:paraId="54A9572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10621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201374A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56FD2B6">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F35CF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260" w:type="pct"/>
            <w:tcBorders>
              <w:top w:val="single" w:color="auto" w:sz="2" w:space="0"/>
              <w:left w:val="single" w:color="auto" w:sz="2" w:space="0"/>
              <w:bottom w:val="single" w:color="auto" w:sz="2" w:space="0"/>
            </w:tcBorders>
            <w:vAlign w:val="center"/>
          </w:tcPr>
          <w:p w14:paraId="0C43640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BA05B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5" w:type="pct"/>
            <w:vMerge w:val="restart"/>
            <w:tcBorders>
              <w:top w:val="single" w:color="auto" w:sz="2" w:space="0"/>
              <w:right w:val="single" w:color="auto" w:sz="2" w:space="0"/>
            </w:tcBorders>
            <w:vAlign w:val="center"/>
          </w:tcPr>
          <w:p w14:paraId="1D12824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6A1DD7E1">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15EFC202">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9F2967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5A829DC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60" w:type="pct"/>
            <w:tcBorders>
              <w:top w:val="single" w:color="auto" w:sz="2" w:space="0"/>
              <w:left w:val="single" w:color="auto" w:sz="2" w:space="0"/>
              <w:bottom w:val="single" w:color="auto" w:sz="2" w:space="0"/>
            </w:tcBorders>
            <w:vAlign w:val="center"/>
          </w:tcPr>
          <w:p w14:paraId="5FECD47B">
            <w:pPr>
              <w:adjustRightInd w:val="0"/>
              <w:snapToGrid w:val="0"/>
              <w:spacing w:line="360" w:lineRule="auto"/>
              <w:jc w:val="center"/>
              <w:rPr>
                <w:rFonts w:hint="eastAsia" w:ascii="宋体" w:hAnsi="宋体" w:eastAsia="宋体" w:cs="宋体"/>
                <w:color w:val="auto"/>
                <w:sz w:val="24"/>
                <w:szCs w:val="24"/>
                <w:highlight w:val="none"/>
              </w:rPr>
            </w:pPr>
          </w:p>
        </w:tc>
      </w:tr>
      <w:tr w14:paraId="7DCE52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vMerge w:val="continue"/>
            <w:tcBorders>
              <w:bottom w:val="single" w:color="auto" w:sz="2" w:space="0"/>
              <w:right w:val="single" w:color="auto" w:sz="2" w:space="0"/>
            </w:tcBorders>
            <w:vAlign w:val="center"/>
          </w:tcPr>
          <w:p w14:paraId="71D22942">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2685CEE0">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5E31A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拥有者性别</w:t>
            </w:r>
          </w:p>
        </w:tc>
        <w:tc>
          <w:tcPr>
            <w:tcW w:w="1260" w:type="pct"/>
            <w:tcBorders>
              <w:top w:val="single" w:color="auto" w:sz="2" w:space="0"/>
              <w:left w:val="single" w:color="auto" w:sz="2" w:space="0"/>
              <w:bottom w:val="single" w:color="auto" w:sz="2" w:space="0"/>
            </w:tcBorders>
            <w:vAlign w:val="center"/>
          </w:tcPr>
          <w:p w14:paraId="16A2C78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93A90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F510F3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3C284C9">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6CBC9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260" w:type="pct"/>
            <w:tcBorders>
              <w:top w:val="single" w:color="auto" w:sz="2" w:space="0"/>
              <w:left w:val="single" w:color="auto" w:sz="2" w:space="0"/>
              <w:bottom w:val="single" w:color="auto" w:sz="2" w:space="0"/>
            </w:tcBorders>
            <w:vAlign w:val="center"/>
          </w:tcPr>
          <w:p w14:paraId="6E8C58E1">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52C34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6B3F96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173488B">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B2E6D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604DD689">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4B3EA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2BDED1A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E1DB42F">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496319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40FA12E6">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21F8E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53EE8F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97CC1DF">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22655F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260" w:type="pct"/>
            <w:tcBorders>
              <w:top w:val="single" w:color="auto" w:sz="2" w:space="0"/>
              <w:left w:val="single" w:color="auto" w:sz="2" w:space="0"/>
              <w:bottom w:val="single" w:color="auto" w:sz="2" w:space="0"/>
            </w:tcBorders>
            <w:vAlign w:val="center"/>
          </w:tcPr>
          <w:p w14:paraId="03BBAE6F">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78EF3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FA7A49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D632400">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6915B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5D725E0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11924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1BEE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49BDCBC">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A6FEAA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3289875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C04D0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C97B9C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03BDC528">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41512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3ED3BCF5">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A8AF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FCA50F6">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F90D212">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1D7DB2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510010A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C1A33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FE7577A">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913AACD">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28C5F4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1E2EFFD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46866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43F1EC4">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48C27E2">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E2EB6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6F6DDA9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0EB3F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D656362">
            <w:pPr>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签订时间</w:t>
            </w:r>
          </w:p>
        </w:tc>
        <w:tc>
          <w:tcPr>
            <w:tcW w:w="1436" w:type="pct"/>
            <w:tcBorders>
              <w:top w:val="single" w:color="auto" w:sz="2" w:space="0"/>
              <w:left w:val="single" w:color="auto" w:sz="2" w:space="0"/>
              <w:bottom w:val="single" w:color="auto" w:sz="2" w:space="0"/>
              <w:right w:val="single" w:color="auto" w:sz="2" w:space="0"/>
            </w:tcBorders>
            <w:vAlign w:val="center"/>
          </w:tcPr>
          <w:p w14:paraId="6B069CC4">
            <w:pPr>
              <w:adjustRightInd w:val="0"/>
              <w:snapToGrid w:val="0"/>
              <w:spacing w:line="360" w:lineRule="auto"/>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90FEE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签订时间</w:t>
            </w:r>
          </w:p>
        </w:tc>
        <w:tc>
          <w:tcPr>
            <w:tcW w:w="1260" w:type="pct"/>
            <w:tcBorders>
              <w:top w:val="single" w:color="auto" w:sz="2" w:space="0"/>
              <w:left w:val="single" w:color="auto" w:sz="2" w:space="0"/>
              <w:bottom w:val="single" w:color="auto" w:sz="2" w:space="0"/>
            </w:tcBorders>
            <w:vAlign w:val="center"/>
          </w:tcPr>
          <w:p w14:paraId="58DBEFC5">
            <w:pPr>
              <w:adjustRightInd w:val="0"/>
              <w:snapToGrid w:val="0"/>
              <w:spacing w:line="360" w:lineRule="auto"/>
              <w:jc w:val="center"/>
              <w:rPr>
                <w:rFonts w:hint="eastAsia" w:ascii="宋体" w:hAnsi="宋体" w:eastAsia="宋体" w:cs="宋体"/>
                <w:color w:val="auto"/>
                <w:spacing w:val="20"/>
                <w:sz w:val="24"/>
                <w:szCs w:val="24"/>
                <w:highlight w:val="none"/>
              </w:rPr>
            </w:pPr>
          </w:p>
        </w:tc>
      </w:tr>
    </w:tbl>
    <w:p w14:paraId="143D392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BC6E6EA">
      <w:pPr>
        <w:pStyle w:val="3"/>
        <w:adjustRightInd w:val="0"/>
        <w:snapToGrid w:val="0"/>
        <w:spacing w:before="156" w:beforeLines="50" w:line="360" w:lineRule="auto"/>
        <w:jc w:val="center"/>
        <w:rPr>
          <w:rFonts w:hint="eastAsia" w:ascii="宋体" w:hAnsi="宋体" w:eastAsia="宋体" w:cs="宋体"/>
          <w:color w:val="auto"/>
          <w:sz w:val="24"/>
          <w:szCs w:val="24"/>
          <w:highlight w:val="none"/>
        </w:rPr>
      </w:pPr>
      <w:bookmarkStart w:id="73" w:name="_Toc4266"/>
      <w:bookmarkStart w:id="74" w:name="_Toc27624"/>
      <w:r>
        <w:rPr>
          <w:rFonts w:hint="eastAsia" w:ascii="宋体" w:hAnsi="宋体" w:eastAsia="宋体" w:cs="@仿宋_GB2312"/>
          <w:bCs w:val="0"/>
          <w:color w:val="auto"/>
          <w:sz w:val="24"/>
          <w:szCs w:val="20"/>
          <w:highlight w:val="none"/>
        </w:rPr>
        <w:t>第二节 政府采购合同通用条款</w:t>
      </w:r>
      <w:bookmarkEnd w:id="73"/>
      <w:bookmarkEnd w:id="74"/>
    </w:p>
    <w:p w14:paraId="68954CA3">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 xml:space="preserve">1. </w:t>
      </w:r>
      <w:r>
        <w:rPr>
          <w:rFonts w:hint="eastAsia" w:ascii="宋体" w:hAnsi="宋体" w:eastAsia="宋体" w:cs="宋体"/>
          <w:b/>
          <w:bCs/>
          <w:color w:val="auto"/>
          <w:sz w:val="24"/>
          <w:szCs w:val="24"/>
          <w:highlight w:val="none"/>
        </w:rPr>
        <w:t>定义</w:t>
      </w:r>
    </w:p>
    <w:p w14:paraId="42A9FAC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E0798C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（1）采购人（以下称甲方）是指使用财政性资金，通过政府采购方式向供应商购买货物及其相关服务的国家机关、事业单位、团体组织。</w:t>
      </w:r>
    </w:p>
    <w:p w14:paraId="547C483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（2）供应商（以下称乙方）是指参加政府采购活动并且中标（成交），向采购人提供合同约定的货物及其相关服务的法人、非法人组织或者自然人。</w:t>
      </w:r>
    </w:p>
    <w:p w14:paraId="3EEAEB2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554BFF19">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5F864A4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DDD8593">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（2）“合同价款”系指根据本合同规定乙方在全面履行合同义务后甲方应支付给乙方的价款。</w:t>
      </w:r>
    </w:p>
    <w:p w14:paraId="765A402D">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（3）“货物”系指乙方根据本合同规定须向甲方提供的各种形态和种类的物品，包括原材料、设备、产品（包括软件）及相关的其备品备件、工具、手册及其他技术资料和材料等。</w:t>
      </w:r>
    </w:p>
    <w:p w14:paraId="7F5CEE2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2B28B53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（5）“分包”系指中标（成交）供应商按采购文件、投标（响应）文件的规定，根据分包意向协议，将中标（成交）项目中的部分履约内容，分给具有相应资质条件的供应商履行合同的行为。</w:t>
      </w:r>
    </w:p>
    <w:p w14:paraId="53BCEC9A">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1CD9FD2">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87906E5">
      <w:pPr>
        <w:numPr>
          <w:ilvl w:val="0"/>
          <w:numId w:val="4"/>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760A3D3B">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rPr>
        <w:t>2.1 合同标的及金额应与中标（成交）结果一致。乙方为履行本合同而发生的所有费用均应包含在合同价款中，甲方不再另行支付其他任何费用。</w:t>
      </w:r>
    </w:p>
    <w:p w14:paraId="01DBE990">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履行合同的时间、地点和方式</w:t>
      </w:r>
    </w:p>
    <w:p w14:paraId="6C9BE6C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乙方应当在约定的时间、地点，按照约定方式履行合同。</w:t>
      </w:r>
    </w:p>
    <w:p w14:paraId="33F1DD6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甲方的权利和义务</w:t>
      </w:r>
    </w:p>
    <w:p w14:paraId="60C7994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6450F37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甲方有权要求乙方按时提交各阶段有关安排计划，并有权定期核对乙方提供货物数量、规格、质量等内容。甲方有权督促乙方工作并要求乙方更换不符合要求的货物。</w:t>
      </w:r>
    </w:p>
    <w:p w14:paraId="1099FE6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甲方有权要求乙方对缺陷部分予以修复，并按合同约定享有货物保修及其他合同约定的权利。</w:t>
      </w:r>
    </w:p>
    <w:p w14:paraId="7EC219F2">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甲方应当按照合同约定及时对交付的货物进行验收，未在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约定的期限内对乙方履约提出任何异议或者向乙方作出任何说明的，视为验收通过。</w:t>
      </w:r>
    </w:p>
    <w:p w14:paraId="776A594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甲方应当根据合同约定及时向乙方支付合同价款，不得以内部人员变更、履行内部付款流程等为由，拒绝或迟延支付。</w:t>
      </w:r>
    </w:p>
    <w:p w14:paraId="45EF656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 国家法律法规规定及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约定应由甲方承担的其他义务和责任。</w:t>
      </w:r>
    </w:p>
    <w:p w14:paraId="0C115F29">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乙方的权利和义务</w:t>
      </w:r>
    </w:p>
    <w:p w14:paraId="117C535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签署合同后，乙方应确定项目负责人（或项目联系人），负责与本合同有关的事务。</w:t>
      </w:r>
    </w:p>
    <w:p w14:paraId="69968B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602B29">
      <w:pPr>
        <w:pStyle w:val="9"/>
        <w:spacing w:after="0"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14:paraId="3764B6C3">
      <w:pPr>
        <w:pStyle w:val="9"/>
        <w:spacing w:after="0"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14:paraId="2DC41BC6">
      <w:pPr>
        <w:numPr>
          <w:ilvl w:val="0"/>
          <w:numId w:val="5"/>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合同履行</w:t>
      </w:r>
    </w:p>
    <w:p w14:paraId="576A58F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25E3D3F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3048B66E">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 货物包装、运输、保险和交付要求</w:t>
      </w:r>
    </w:p>
    <w:p w14:paraId="708B56C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本合同</w:t>
      </w:r>
      <w:r>
        <w:rPr>
          <w:rFonts w:hint="eastAsia" w:ascii="宋体" w:hAnsi="宋体" w:eastAsia="宋体" w:cs="宋体"/>
          <w:bCs/>
          <w:color w:val="auto"/>
          <w:sz w:val="24"/>
          <w:szCs w:val="24"/>
          <w:highlight w:val="none"/>
        </w:rPr>
        <w:t>涉及商品包装、快递包装的，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约定的</w:t>
      </w:r>
      <w:r>
        <w:rPr>
          <w:rFonts w:hint="eastAsia" w:ascii="宋体" w:hAnsi="宋体" w:eastAsia="宋体" w:cs="宋体"/>
          <w:color w:val="auto"/>
          <w:sz w:val="24"/>
          <w:szCs w:val="24"/>
          <w:highlight w:val="none"/>
        </w:rPr>
        <w:t>指定现场。</w:t>
      </w:r>
    </w:p>
    <w:p w14:paraId="2C8DE33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乙方负责办理将货物运抵本合同规定的交货地点，并装卸、交付至甲方的一切运输事项，相关费用应包含在合同价款中。</w:t>
      </w:r>
    </w:p>
    <w:p w14:paraId="5A51BE3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0CFB48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F062A2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乙方在运输到达之前应提前通知甲方，并提示货物运输装卸的注意事项，甲方配合乙方做好货物的接收工作。</w:t>
      </w:r>
    </w:p>
    <w:p w14:paraId="4A8BE133">
      <w:pPr>
        <w:pStyle w:val="7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7.6 如因包装、运输问题导致货物损毁、丢失或者品质下降，甲方有权要求降价、换货、拒收部分或整批货物，由此产生的费用和损失，均由乙方承担。</w:t>
      </w:r>
    </w:p>
    <w:p w14:paraId="734B42DB">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质量标准和保证</w:t>
      </w:r>
    </w:p>
    <w:p w14:paraId="2950C9E4">
      <w:pPr>
        <w:pStyle w:val="13"/>
        <w:adjustRightInd w:val="0"/>
        <w:snapToGrid w:val="0"/>
        <w:spacing w:line="360" w:lineRule="auto"/>
        <w:ind w:firstLine="480" w:firstLineChars="200"/>
        <w:jc w:val="left"/>
        <w:rPr>
          <w:rFonts w:hint="eastAsia" w:hAnsi="宋体" w:eastAsia="宋体" w:cs="宋体"/>
          <w:b/>
          <w:color w:val="auto"/>
          <w:sz w:val="24"/>
          <w:szCs w:val="24"/>
          <w:highlight w:val="none"/>
        </w:rPr>
      </w:pPr>
      <w:r>
        <w:rPr>
          <w:rFonts w:hint="eastAsia" w:hAnsi="宋体" w:eastAsia="宋体" w:cs="宋体"/>
          <w:color w:val="auto"/>
          <w:sz w:val="24"/>
          <w:szCs w:val="24"/>
          <w:highlight w:val="none"/>
        </w:rPr>
        <w:t>8.1 质量标准</w:t>
      </w:r>
    </w:p>
    <w:p w14:paraId="1B5DECE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55E873">
      <w:pPr>
        <w:pStyle w:val="13"/>
        <w:adjustRightInd w:val="0"/>
        <w:snapToGrid w:val="0"/>
        <w:spacing w:line="360" w:lineRule="auto"/>
        <w:ind w:firstLine="480" w:firstLineChars="200"/>
        <w:jc w:val="left"/>
        <w:rPr>
          <w:rFonts w:hint="eastAsia" w:hAnsi="宋体" w:eastAsia="宋体" w:cs="宋体"/>
          <w:color w:val="auto"/>
          <w:sz w:val="24"/>
          <w:szCs w:val="24"/>
          <w:highlight w:val="none"/>
        </w:rPr>
      </w:pPr>
      <w:r>
        <w:rPr>
          <w:rFonts w:hint="eastAsia" w:hAnsi="宋体" w:eastAsia="宋体" w:cs="宋体"/>
          <w:color w:val="auto"/>
          <w:sz w:val="24"/>
          <w:szCs w:val="24"/>
          <w:highlight w:val="none"/>
        </w:rPr>
        <w:t>（2）采用中华人民共和国法定计量单位。</w:t>
      </w:r>
    </w:p>
    <w:p w14:paraId="63C38D1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（3）乙方所提供的货物应符合国家有关安全、环保、卫生的规定。</w:t>
      </w:r>
    </w:p>
    <w:p w14:paraId="6009B62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（4）乙方应向甲方提交所提供货物的技术文件，包括相应的中文技术文件，如：产品目录、图纸、操作手册、使用说明、维护手册或服务指南等。上述文件应包装好随货物一同发运。</w:t>
      </w:r>
    </w:p>
    <w:p w14:paraId="6F9DD27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保证</w:t>
      </w:r>
    </w:p>
    <w:p w14:paraId="14A08A2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规定或乙方书面承诺（两者以较长的为准）的质量保证期内，本保证保持有效。</w:t>
      </w:r>
    </w:p>
    <w:p w14:paraId="6DDFFEE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4543123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91E1B8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5313AEB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（5）乙方在约定的时间内未能弥补缺陷，甲方可采取必要的补救措施，但其风险和费用将由乙方承担，甲方根据合同约定对乙方行使的其他权利不受影响。</w:t>
      </w:r>
    </w:p>
    <w:p w14:paraId="352268B0">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 权利瑕疵担保</w:t>
      </w:r>
    </w:p>
    <w:p w14:paraId="0417095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 乙方保证对其出售的货物享有合法的权利。</w:t>
      </w:r>
    </w:p>
    <w:p w14:paraId="02CE53E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乙方保证在交付的货物上不存在抵押权等担保物权。</w:t>
      </w:r>
    </w:p>
    <w:p w14:paraId="4075A41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如甲方使用上述货物构成对第三人侵权的，则由乙方承担全部责任。</w:t>
      </w:r>
    </w:p>
    <w:p w14:paraId="7C2460F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 知识产权保护</w:t>
      </w:r>
    </w:p>
    <w:p w14:paraId="1AA8E27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 乙方对其所销售的货物应当享有知识产权或经权利人合法授权，保证没有侵犯任何第三人的知识产权等权利。</w:t>
      </w:r>
      <w:bookmarkStart w:id="75"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75"/>
      <w:r>
        <w:rPr>
          <w:rFonts w:hint="eastAsia" w:ascii="宋体" w:hAnsi="宋体" w:eastAsia="宋体" w:cs="宋体"/>
          <w:color w:val="auto"/>
          <w:sz w:val="24"/>
          <w:szCs w:val="24"/>
          <w:highlight w:val="none"/>
        </w:rPr>
        <w:t>。</w:t>
      </w:r>
    </w:p>
    <w:p w14:paraId="5C039C28">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保密义务</w:t>
      </w:r>
    </w:p>
    <w:p w14:paraId="118A90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0BD98D1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 合同价款支付</w:t>
      </w:r>
    </w:p>
    <w:p w14:paraId="34070AA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合同价款支付按照国库集中支付制度及财政管理相关规定执行。</w:t>
      </w:r>
    </w:p>
    <w:p w14:paraId="0D301A83">
      <w:pPr>
        <w:pStyle w:val="3"/>
        <w:spacing w:line="360" w:lineRule="auto"/>
        <w:ind w:firstLine="480" w:firstLineChars="200"/>
        <w:rPr>
          <w:rFonts w:hint="eastAsia" w:ascii="宋体" w:hAnsi="宋体" w:eastAsia="宋体" w:cs="宋体"/>
          <w:color w:val="auto"/>
          <w:sz w:val="24"/>
          <w:szCs w:val="24"/>
          <w:highlight w:val="none"/>
        </w:rPr>
      </w:pPr>
      <w:bookmarkStart w:id="76" w:name="_Toc14340"/>
      <w:r>
        <w:rPr>
          <w:rFonts w:hint="eastAsia" w:ascii="宋体" w:hAnsi="宋体" w:eastAsia="宋体" w:cs="宋体"/>
          <w:b w:val="0"/>
          <w:bCs w:val="0"/>
          <w:color w:val="auto"/>
          <w:sz w:val="24"/>
          <w:szCs w:val="24"/>
          <w:highlight w:val="none"/>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color w:val="auto"/>
          <w:sz w:val="24"/>
          <w:szCs w:val="24"/>
          <w:highlight w:val="none"/>
        </w:rPr>
        <w:t>政府采购合同专用条款</w:t>
      </w:r>
      <w:r>
        <w:rPr>
          <w:rFonts w:hint="eastAsia" w:ascii="宋体" w:hAnsi="宋体" w:eastAsia="宋体" w:cs="宋体"/>
          <w:b w:val="0"/>
          <w:bCs w:val="0"/>
          <w:color w:val="auto"/>
          <w:sz w:val="24"/>
          <w:szCs w:val="24"/>
          <w:highlight w:val="none"/>
        </w:rPr>
        <w:t>】中约定。</w:t>
      </w:r>
      <w:bookmarkEnd w:id="76"/>
    </w:p>
    <w:p w14:paraId="0975BA68">
      <w:pPr>
        <w:pStyle w:val="9"/>
        <w:spacing w:after="0"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w:t>
      </w:r>
      <w:r>
        <w:rPr>
          <w:rFonts w:hint="eastAsia" w:ascii="宋体" w:hAnsi="宋体" w:eastAsia="宋体" w:cs="宋体"/>
          <w:b/>
          <w:bCs/>
          <w:color w:val="auto"/>
          <w:sz w:val="24"/>
          <w:highlight w:val="none"/>
          <w:lang w:val="en-US"/>
        </w:rPr>
        <w:t xml:space="preserve"> </w:t>
      </w:r>
      <w:r>
        <w:rPr>
          <w:rFonts w:hint="eastAsia" w:ascii="宋体" w:hAnsi="宋体" w:eastAsia="宋体" w:cs="宋体"/>
          <w:b/>
          <w:bCs/>
          <w:color w:val="auto"/>
          <w:sz w:val="24"/>
          <w:highlight w:val="none"/>
        </w:rPr>
        <w:t>履约保证金</w:t>
      </w:r>
    </w:p>
    <w:p w14:paraId="047CDEB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乙方应当以支票、汇票、本票或者金融机构、担保机构出具的保函等非现金形式提交。</w:t>
      </w:r>
    </w:p>
    <w:p w14:paraId="45787EB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如果乙方出现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3AA174AA">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57D37">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 xml:space="preserve">14. </w:t>
      </w:r>
      <w:r>
        <w:rPr>
          <w:rFonts w:hint="eastAsia" w:ascii="宋体" w:hAnsi="宋体" w:eastAsia="宋体" w:cs="宋体"/>
          <w:b/>
          <w:color w:val="auto"/>
          <w:sz w:val="24"/>
          <w:szCs w:val="24"/>
          <w:highlight w:val="none"/>
        </w:rPr>
        <w:t>售后服务</w:t>
      </w:r>
    </w:p>
    <w:p w14:paraId="70A1908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除项目不涉及或采购活动中明确约定无须承担外，乙方还应提供下列服务：</w:t>
      </w:r>
    </w:p>
    <w:p w14:paraId="01336EC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2D2E98C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6FA89A4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约定的期限内对所有的货物实施运行监督、维修，但前提条件是该服务并不能免除乙方在质量保证期内所承担的义务；</w:t>
      </w:r>
    </w:p>
    <w:p w14:paraId="3233AF2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（4）在制造商所在地或指定现场就货物的安装、启动、运营、维护、废弃处置等对甲方操作人员进行培训；</w:t>
      </w:r>
    </w:p>
    <w:p w14:paraId="03D28E09">
      <w:pPr>
        <w:pStyle w:val="7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3F9FAB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6B781C7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乙方提供的售后服务的费用已包含在合同价款中，甲方不再另行支付。</w:t>
      </w:r>
    </w:p>
    <w:p w14:paraId="79E8157B">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违约责任</w:t>
      </w:r>
    </w:p>
    <w:p w14:paraId="578D0864">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15.1质量瑕疵的违约责任</w:t>
      </w:r>
    </w:p>
    <w:p w14:paraId="5887D62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乙方提供的产品不符合合同约定的质量标准或存在产品质量缺陷，甲方有权要求乙方根据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要求</w:t>
      </w:r>
      <w:r>
        <w:rPr>
          <w:rFonts w:hint="eastAsia" w:ascii="宋体" w:hAnsi="宋体" w:eastAsia="宋体" w:cs="宋体"/>
          <w:color w:val="auto"/>
          <w:sz w:val="24"/>
          <w:szCs w:val="24"/>
          <w:highlight w:val="none"/>
        </w:rPr>
        <w:t>及时修理、重作、更换，并承担由此给甲方造成的损失。</w:t>
      </w:r>
    </w:p>
    <w:p w14:paraId="6E2F1FE8">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15.2 迟延交货的违约责任</w:t>
      </w:r>
    </w:p>
    <w:p w14:paraId="20E7F8A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E3ACB6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规定执行。如果涉及公共利益，且赔偿金额无法弥补公共利益损失，甲方可要求继续履行或者采取其他补救措施。</w:t>
      </w:r>
    </w:p>
    <w:p w14:paraId="3099F2C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迟延支付的违约责任</w:t>
      </w:r>
    </w:p>
    <w:p w14:paraId="1D02A2C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092B0C14">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37B0AB2">
      <w:pPr>
        <w:numPr>
          <w:ilvl w:val="0"/>
          <w:numId w:val="6"/>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合同变更、中止与终止</w:t>
      </w:r>
    </w:p>
    <w:p w14:paraId="325627A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16.1合同的变更</w:t>
      </w:r>
    </w:p>
    <w:p w14:paraId="2E3D0FF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政府采购合同履行中，在不改变合同其他条款的前提下，甲方可以在合同价款10%的范围内追加与合同标的相同的货物，并就此与乙方协商一致后签订补充协议。</w:t>
      </w:r>
    </w:p>
    <w:p w14:paraId="779A0A5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16.2合同的中止</w:t>
      </w:r>
    </w:p>
    <w:p w14:paraId="6B8C5BE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（1）合同履行过程中因供应商就采购文件、采购过程或结果提起投诉的，甲方认为有必要的，可以中止合同的履行。</w:t>
      </w:r>
    </w:p>
    <w:p w14:paraId="02AE060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92A3067">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（3）乙方分立、合并或者变更住所的，应当及时以书面形式告知甲方。乙方没有及时告知甲方，致使合同履行发生困难的，甲方可以中止合同履行并要求乙方承担由此给甲方造成的损失。</w:t>
      </w:r>
    </w:p>
    <w:p w14:paraId="128FD4E9">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（4）甲方不得以行政区划调整、政府换届、机构或者职能调整以及相关责任人更替为由中止合同。</w:t>
      </w:r>
    </w:p>
    <w:p w14:paraId="32E7B1E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16.3合同的终止</w:t>
      </w:r>
    </w:p>
    <w:p w14:paraId="7DA1D5A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448E012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（2）乙方未按合同约定履行，构成根本性违约的，甲方有权终止合同，并追究乙方的违约责任。</w:t>
      </w:r>
    </w:p>
    <w:p w14:paraId="16CEB8FE">
      <w:pPr>
        <w:pStyle w:val="7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16.4 </w:t>
      </w:r>
      <w:r>
        <w:rPr>
          <w:rFonts w:hint="eastAsia" w:ascii="宋体" w:hAnsi="宋体" w:eastAsia="宋体" w:cs="宋体"/>
          <w:color w:val="auto"/>
          <w:kern w:val="2"/>
          <w:sz w:val="24"/>
          <w:szCs w:val="24"/>
          <w:highlight w:val="none"/>
        </w:rPr>
        <w:t>涉及国家利益、社会公共利益的情形</w:t>
      </w:r>
    </w:p>
    <w:p w14:paraId="139BA5DE">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政府采购合同继续履行将损害国家利益和社会公共利益的，双方当事人应当变更、中止或者终止合同。有过错的一方应当承担赔偿责任，双方都有过错的，各自承担相应的责任。</w:t>
      </w:r>
    </w:p>
    <w:p w14:paraId="5536F4F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 合同分包</w:t>
      </w:r>
    </w:p>
    <w:p w14:paraId="38606DD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乙方不得将合同转包给其他供应商。涉及合同分包的，乙方应根据采购文件和投标（响应）文件规定进行合同分包。</w:t>
      </w:r>
    </w:p>
    <w:p w14:paraId="666391B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乙方执行政府采购政策向中小企业依法分包的，乙方应当按采购文件和投标（响应）文件签订分包意向协议，分包意向协议属于本合同组成部分。</w:t>
      </w:r>
    </w:p>
    <w:p w14:paraId="14DA4944">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 不可抗力</w:t>
      </w:r>
    </w:p>
    <w:p w14:paraId="15396E2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不可抗力是指合同双方不能预见、不能避免且不能克服的客观情况。</w:t>
      </w:r>
    </w:p>
    <w:p w14:paraId="574292D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任何一方对由于不可抗力造成的部分或全部不能履行合同不承担违约责任。但迟延履行后发生不可抗力的，不能免除责任。</w:t>
      </w:r>
    </w:p>
    <w:p w14:paraId="300864C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D0EE6E1">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 解决争议的方法</w:t>
      </w:r>
    </w:p>
    <w:p w14:paraId="4FBC359B">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02615C6B">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6C2337EE">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如甲乙双方有争议的事项不影响合同其他部分的履行，在争议解决期间，合同其他部分应当继续履行。</w:t>
      </w:r>
    </w:p>
    <w:p w14:paraId="1E25951C">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20. 政府采购政策</w:t>
      </w:r>
    </w:p>
    <w:p w14:paraId="22D6101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20.1 </w:t>
      </w:r>
      <w:r>
        <w:rPr>
          <w:rFonts w:hint="eastAsia" w:ascii="宋体" w:hAnsi="宋体" w:eastAsia="宋体" w:cs="宋体"/>
          <w:color w:val="auto"/>
          <w:sz w:val="24"/>
          <w:szCs w:val="24"/>
          <w:highlight w:val="none"/>
          <w:lang w:val="en-GB"/>
        </w:rPr>
        <w:t>本合同应当按照规定执行政府采购政策。</w:t>
      </w:r>
    </w:p>
    <w:p w14:paraId="09340FA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本合同依法执行政府采购政策的方式和内容，属于合同履约验收的范围。甲乙双方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2D4A716F">
      <w:pPr>
        <w:pStyle w:val="9"/>
        <w:spacing w:after="0"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BEE8665">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 法律适用</w:t>
      </w:r>
    </w:p>
    <w:p w14:paraId="28A686B7">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本合同的订立、生效、解释、履行及与本合同有关的争议解决，均适用法律、行政法规。</w:t>
      </w:r>
    </w:p>
    <w:p w14:paraId="178AF2E6">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 本合同条款与法律、行政法规的强制性规定不一致的，双方当事人应按照法律、行政法规的强制性规定修改本合同的相关条款。</w:t>
      </w:r>
    </w:p>
    <w:p w14:paraId="489521EB">
      <w:pPr>
        <w:numPr>
          <w:ilvl w:val="255"/>
          <w:numId w:val="0"/>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 通知</w:t>
      </w:r>
    </w:p>
    <w:p w14:paraId="1C430F56">
      <w:pPr>
        <w:pStyle w:val="7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 本合同任何一方向对方发出的通知、信件、数据电文等，应当发送至本合同第一部分《政府采购合同协议书》所约定的通讯地址、联系人、联系电话或电子邮箱。</w:t>
      </w:r>
    </w:p>
    <w:p w14:paraId="53B01D59">
      <w:pPr>
        <w:pStyle w:val="73"/>
        <w:spacing w:line="360" w:lineRule="auto"/>
        <w:ind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22.2 一方当事人变更名称、住所、联系人、联系电话或电子邮箱等信息的，应当在变更后3日内及时书面通知对方，对方实际收到变更通知前的送达仍为有效送达。</w:t>
      </w:r>
    </w:p>
    <w:p w14:paraId="2662C7A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22.3本合同一方给另一方的通知均应采用书面形式，传真或快递送到本合同中规定的对方的地址和办理签收手续。</w:t>
      </w:r>
    </w:p>
    <w:p w14:paraId="369165B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22.4通知以送达之日或通知书中规定的生效之日起生效，两者中以较迟之日为准。</w:t>
      </w:r>
    </w:p>
    <w:p w14:paraId="02F74153">
      <w:pPr>
        <w:numPr>
          <w:ilvl w:val="0"/>
          <w:numId w:val="7"/>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6291B097">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A308DD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23.2 合同附件与合同正文具有同等的法律效力。</w:t>
      </w:r>
    </w:p>
    <w:p w14:paraId="03BE3AB0">
      <w:pPr>
        <w:pStyle w:val="3"/>
        <w:adjustRightInd w:val="0"/>
        <w:snapToGrid w:val="0"/>
        <w:spacing w:before="156" w:beforeLines="50" w:line="360" w:lineRule="auto"/>
        <w:jc w:val="center"/>
        <w:rPr>
          <w:rFonts w:hint="eastAsia" w:cs="@仿宋_GB2312" w:asciiTheme="minorEastAsia" w:hAnsiTheme="minorEastAsia" w:eastAsiaTheme="minorEastAsia"/>
          <w:bCs w:val="0"/>
          <w:color w:val="auto"/>
          <w:sz w:val="24"/>
          <w:szCs w:val="20"/>
          <w:highlight w:val="none"/>
        </w:rPr>
      </w:pPr>
    </w:p>
    <w:p w14:paraId="33DE33A7">
      <w:pPr>
        <w:rPr>
          <w:rFonts w:hint="eastAsia" w:asciiTheme="minorEastAsia" w:hAnsiTheme="minorEastAsia" w:eastAsiaTheme="minorEastAsia"/>
          <w:b/>
          <w:color w:val="auto"/>
          <w:sz w:val="24"/>
          <w:highlight w:val="none"/>
        </w:rPr>
      </w:pPr>
    </w:p>
    <w:p w14:paraId="6E704C9B">
      <w:pPr>
        <w:rPr>
          <w:rFonts w:hint="eastAsia" w:asciiTheme="minorEastAsia" w:hAnsiTheme="minorEastAsia" w:eastAsiaTheme="minorEastAsia"/>
          <w:b/>
          <w:color w:val="auto"/>
          <w:sz w:val="24"/>
          <w:highlight w:val="none"/>
        </w:rPr>
      </w:pPr>
    </w:p>
    <w:p w14:paraId="6537C653">
      <w:pPr>
        <w:rPr>
          <w:rFonts w:hint="eastAsia" w:asciiTheme="minorEastAsia" w:hAnsiTheme="minorEastAsia" w:eastAsiaTheme="minorEastAsia"/>
          <w:b/>
          <w:color w:val="auto"/>
          <w:sz w:val="24"/>
          <w:highlight w:val="none"/>
        </w:rPr>
      </w:pPr>
    </w:p>
    <w:p w14:paraId="27C04D46">
      <w:pPr>
        <w:rPr>
          <w:rFonts w:hint="eastAsia" w:asciiTheme="minorEastAsia" w:hAnsiTheme="minorEastAsia" w:eastAsiaTheme="minorEastAsia"/>
          <w:b/>
          <w:color w:val="auto"/>
          <w:sz w:val="24"/>
          <w:highlight w:val="none"/>
        </w:rPr>
      </w:pPr>
    </w:p>
    <w:p w14:paraId="17613838">
      <w:pPr>
        <w:rPr>
          <w:rFonts w:hint="eastAsia" w:asciiTheme="minorEastAsia" w:hAnsiTheme="minorEastAsia" w:eastAsiaTheme="minorEastAsia"/>
          <w:b/>
          <w:color w:val="auto"/>
          <w:sz w:val="24"/>
          <w:highlight w:val="none"/>
        </w:rPr>
      </w:pPr>
    </w:p>
    <w:p w14:paraId="07B68241">
      <w:pPr>
        <w:rPr>
          <w:rFonts w:hint="eastAsia" w:asciiTheme="minorEastAsia" w:hAnsiTheme="minorEastAsia" w:eastAsiaTheme="minorEastAsia"/>
          <w:b/>
          <w:color w:val="auto"/>
          <w:sz w:val="24"/>
          <w:highlight w:val="none"/>
        </w:rPr>
      </w:pPr>
    </w:p>
    <w:p w14:paraId="7FAFBD25">
      <w:pPr>
        <w:rPr>
          <w:rFonts w:hint="eastAsia" w:asciiTheme="minorEastAsia" w:hAnsiTheme="minorEastAsia" w:eastAsiaTheme="minorEastAsia"/>
          <w:b/>
          <w:color w:val="auto"/>
          <w:sz w:val="24"/>
          <w:highlight w:val="none"/>
        </w:rPr>
      </w:pPr>
    </w:p>
    <w:p w14:paraId="13F823DD">
      <w:pPr>
        <w:rPr>
          <w:rFonts w:hint="eastAsia" w:asciiTheme="minorEastAsia" w:hAnsiTheme="minorEastAsia" w:eastAsiaTheme="minorEastAsia"/>
          <w:b/>
          <w:color w:val="auto"/>
          <w:sz w:val="24"/>
          <w:highlight w:val="none"/>
        </w:rPr>
      </w:pPr>
    </w:p>
    <w:p w14:paraId="31848CA9">
      <w:pPr>
        <w:rPr>
          <w:rFonts w:hint="eastAsia" w:asciiTheme="minorEastAsia" w:hAnsiTheme="minorEastAsia" w:eastAsiaTheme="minorEastAsia"/>
          <w:b/>
          <w:color w:val="auto"/>
          <w:sz w:val="24"/>
          <w:highlight w:val="none"/>
        </w:rPr>
      </w:pPr>
    </w:p>
    <w:p w14:paraId="4514EBC9">
      <w:pPr>
        <w:rPr>
          <w:rFonts w:hint="eastAsia" w:asciiTheme="minorEastAsia" w:hAnsiTheme="minorEastAsia" w:eastAsiaTheme="minorEastAsia"/>
          <w:b/>
          <w:color w:val="auto"/>
          <w:sz w:val="24"/>
          <w:highlight w:val="none"/>
        </w:rPr>
      </w:pPr>
    </w:p>
    <w:p w14:paraId="4EA6674B">
      <w:pPr>
        <w:rPr>
          <w:rFonts w:hint="eastAsia" w:asciiTheme="minorEastAsia" w:hAnsiTheme="minorEastAsia" w:eastAsiaTheme="minorEastAsia"/>
          <w:b/>
          <w:color w:val="auto"/>
          <w:sz w:val="24"/>
          <w:highlight w:val="none"/>
        </w:rPr>
      </w:pPr>
    </w:p>
    <w:p w14:paraId="60D589F3">
      <w:pPr>
        <w:rPr>
          <w:rFonts w:hint="eastAsia" w:asciiTheme="minorEastAsia" w:hAnsiTheme="minorEastAsia" w:eastAsiaTheme="minorEastAsia"/>
          <w:b/>
          <w:color w:val="auto"/>
          <w:sz w:val="24"/>
          <w:highlight w:val="none"/>
        </w:rPr>
      </w:pPr>
    </w:p>
    <w:p w14:paraId="7B1A2A15">
      <w:pPr>
        <w:rPr>
          <w:rFonts w:hint="eastAsia" w:asciiTheme="minorEastAsia" w:hAnsiTheme="minorEastAsia" w:eastAsiaTheme="minorEastAsia"/>
          <w:b/>
          <w:color w:val="auto"/>
          <w:sz w:val="24"/>
          <w:highlight w:val="none"/>
        </w:rPr>
      </w:pPr>
    </w:p>
    <w:p w14:paraId="35CD5CAB">
      <w:pPr>
        <w:pStyle w:val="3"/>
        <w:adjustRightInd w:val="0"/>
        <w:snapToGrid w:val="0"/>
        <w:spacing w:before="156" w:beforeLines="50" w:line="360" w:lineRule="auto"/>
        <w:jc w:val="center"/>
        <w:rPr>
          <w:rFonts w:hint="eastAsia" w:cs="@仿宋_GB2312" w:asciiTheme="minorEastAsia" w:hAnsiTheme="minorEastAsia" w:eastAsiaTheme="minorEastAsia"/>
          <w:bCs w:val="0"/>
          <w:color w:val="auto"/>
          <w:sz w:val="24"/>
          <w:szCs w:val="20"/>
          <w:highlight w:val="none"/>
        </w:rPr>
      </w:pPr>
      <w:bookmarkStart w:id="77" w:name="_Toc2471"/>
      <w:r>
        <w:rPr>
          <w:rFonts w:hint="eastAsia" w:cs="@仿宋_GB2312" w:asciiTheme="minorEastAsia" w:hAnsiTheme="minorEastAsia" w:eastAsiaTheme="minorEastAsia"/>
          <w:bCs w:val="0"/>
          <w:color w:val="auto"/>
          <w:sz w:val="24"/>
          <w:szCs w:val="20"/>
          <w:highlight w:val="none"/>
        </w:rPr>
        <w:t>第三节 政府采购合同专用条款</w:t>
      </w:r>
      <w:bookmarkEnd w:id="77"/>
    </w:p>
    <w:tbl>
      <w:tblPr>
        <w:tblStyle w:val="2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6483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68DB79">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22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第1.2（6）项</w:t>
            </w:r>
          </w:p>
        </w:tc>
        <w:tc>
          <w:tcPr>
            <w:tcW w:w="1742" w:type="dxa"/>
            <w:vAlign w:val="center"/>
          </w:tcPr>
          <w:p w14:paraId="5DFFD054">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联合体具体要求</w:t>
            </w:r>
          </w:p>
        </w:tc>
        <w:tc>
          <w:tcPr>
            <w:tcW w:w="5170" w:type="dxa"/>
            <w:vAlign w:val="center"/>
          </w:tcPr>
          <w:p w14:paraId="39E80D05">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不接受联合体 </w:t>
            </w:r>
          </w:p>
        </w:tc>
      </w:tr>
      <w:tr w14:paraId="36082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CA0EAD8">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45E47A4">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第1.2（7）项</w:t>
            </w:r>
          </w:p>
        </w:tc>
        <w:tc>
          <w:tcPr>
            <w:tcW w:w="1742" w:type="dxa"/>
            <w:vAlign w:val="center"/>
          </w:tcPr>
          <w:p w14:paraId="5FEF636D">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其他术语解释</w:t>
            </w:r>
          </w:p>
        </w:tc>
        <w:tc>
          <w:tcPr>
            <w:tcW w:w="5170" w:type="dxa"/>
            <w:vAlign w:val="center"/>
          </w:tcPr>
          <w:p w14:paraId="7DC62862">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084020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802BF7">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D23A10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第4.4款</w:t>
            </w:r>
          </w:p>
        </w:tc>
        <w:tc>
          <w:tcPr>
            <w:tcW w:w="1742" w:type="dxa"/>
            <w:vAlign w:val="center"/>
          </w:tcPr>
          <w:p w14:paraId="3AE69FE1">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履约验收中甲方提出异议或作出说明的期限</w:t>
            </w:r>
          </w:p>
        </w:tc>
        <w:tc>
          <w:tcPr>
            <w:tcW w:w="5170" w:type="dxa"/>
            <w:vAlign w:val="center"/>
          </w:tcPr>
          <w:p w14:paraId="3C905600">
            <w:pPr>
              <w:adjustRightInd w:val="0"/>
              <w:snapToGrid w:val="0"/>
              <w:jc w:val="left"/>
              <w:rPr>
                <w:rFonts w:hint="eastAsia" w:ascii="宋体" w:hAnsi="宋体" w:eastAsia="宋体" w:cs="宋体"/>
                <w:color w:val="auto"/>
                <w:sz w:val="24"/>
                <w:szCs w:val="24"/>
                <w:highlight w:val="none"/>
              </w:rPr>
            </w:pPr>
          </w:p>
        </w:tc>
      </w:tr>
      <w:tr w14:paraId="5E11CD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F3E1500">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658">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第4.6款</w:t>
            </w:r>
          </w:p>
        </w:tc>
        <w:tc>
          <w:tcPr>
            <w:tcW w:w="1742" w:type="dxa"/>
            <w:vAlign w:val="center"/>
          </w:tcPr>
          <w:p w14:paraId="5EA0E389">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约定甲方承担的其他义务和责任</w:t>
            </w:r>
          </w:p>
        </w:tc>
        <w:tc>
          <w:tcPr>
            <w:tcW w:w="5170" w:type="dxa"/>
            <w:vAlign w:val="center"/>
          </w:tcPr>
          <w:p w14:paraId="5D45E93E">
            <w:pPr>
              <w:adjustRightInd w:val="0"/>
              <w:snapToGrid w:val="0"/>
              <w:jc w:val="left"/>
              <w:rPr>
                <w:rFonts w:hint="eastAsia" w:ascii="宋体" w:hAnsi="宋体" w:eastAsia="宋体" w:cs="宋体"/>
                <w:color w:val="auto"/>
                <w:sz w:val="24"/>
                <w:szCs w:val="24"/>
                <w:highlight w:val="none"/>
              </w:rPr>
            </w:pPr>
          </w:p>
        </w:tc>
      </w:tr>
      <w:tr w14:paraId="793E45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0A9F1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E85E3A9">
            <w:pPr>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第5.4款</w:t>
            </w:r>
          </w:p>
        </w:tc>
        <w:tc>
          <w:tcPr>
            <w:tcW w:w="1742" w:type="dxa"/>
            <w:vAlign w:val="center"/>
          </w:tcPr>
          <w:p w14:paraId="217BAE20">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约定乙方承担的其他义务和责任</w:t>
            </w:r>
          </w:p>
        </w:tc>
        <w:tc>
          <w:tcPr>
            <w:tcW w:w="5170" w:type="dxa"/>
            <w:vAlign w:val="center"/>
          </w:tcPr>
          <w:p w14:paraId="20D3D27A">
            <w:pPr>
              <w:adjustRightInd w:val="0"/>
              <w:snapToGrid w:val="0"/>
              <w:jc w:val="left"/>
              <w:rPr>
                <w:rFonts w:hint="eastAsia" w:ascii="宋体" w:hAnsi="宋体" w:eastAsia="宋体" w:cs="宋体"/>
                <w:color w:val="auto"/>
                <w:sz w:val="24"/>
                <w:szCs w:val="24"/>
                <w:highlight w:val="none"/>
              </w:rPr>
            </w:pPr>
          </w:p>
        </w:tc>
      </w:tr>
      <w:tr w14:paraId="2D3964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FA156D">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14E4AA">
            <w:pPr>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第6.1款</w:t>
            </w:r>
          </w:p>
        </w:tc>
        <w:tc>
          <w:tcPr>
            <w:tcW w:w="1742" w:type="dxa"/>
            <w:vAlign w:val="center"/>
          </w:tcPr>
          <w:p w14:paraId="61954771">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履行合同义务的顺序</w:t>
            </w:r>
          </w:p>
        </w:tc>
        <w:tc>
          <w:tcPr>
            <w:tcW w:w="5170" w:type="dxa"/>
            <w:vAlign w:val="center"/>
          </w:tcPr>
          <w:p w14:paraId="36E2934B">
            <w:pPr>
              <w:adjustRightInd w:val="0"/>
              <w:snapToGrid w:val="0"/>
              <w:jc w:val="left"/>
              <w:rPr>
                <w:rFonts w:hint="eastAsia" w:ascii="宋体" w:hAnsi="宋体" w:eastAsia="宋体" w:cs="宋体"/>
                <w:color w:val="auto"/>
                <w:sz w:val="24"/>
                <w:szCs w:val="24"/>
                <w:highlight w:val="none"/>
              </w:rPr>
            </w:pPr>
          </w:p>
        </w:tc>
      </w:tr>
      <w:tr w14:paraId="4CEAB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DD2AFC4">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6ADBD6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第7.1款</w:t>
            </w:r>
          </w:p>
        </w:tc>
        <w:tc>
          <w:tcPr>
            <w:tcW w:w="1742" w:type="dxa"/>
            <w:vAlign w:val="center"/>
          </w:tcPr>
          <w:p w14:paraId="32490CE3">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包装特殊要求</w:t>
            </w:r>
          </w:p>
        </w:tc>
        <w:tc>
          <w:tcPr>
            <w:tcW w:w="5170" w:type="dxa"/>
            <w:vAlign w:val="center"/>
          </w:tcPr>
          <w:p w14:paraId="378037D5">
            <w:pPr>
              <w:rPr>
                <w:rFonts w:hint="eastAsia" w:ascii="宋体" w:hAnsi="宋体" w:eastAsia="宋体" w:cs="宋体"/>
                <w:color w:val="auto"/>
                <w:sz w:val="24"/>
                <w:szCs w:val="24"/>
                <w:highlight w:val="none"/>
              </w:rPr>
            </w:pPr>
          </w:p>
        </w:tc>
      </w:tr>
      <w:tr w14:paraId="03B897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3AC43B9">
            <w:pPr>
              <w:adjustRightInd w:val="0"/>
              <w:snapToGrid w:val="0"/>
              <w:jc w:val="center"/>
              <w:rPr>
                <w:rFonts w:hint="eastAsia" w:ascii="宋体" w:hAnsi="宋体" w:eastAsia="宋体" w:cs="宋体"/>
                <w:color w:val="auto"/>
                <w:sz w:val="24"/>
                <w:szCs w:val="24"/>
                <w:highlight w:val="none"/>
              </w:rPr>
            </w:pPr>
          </w:p>
        </w:tc>
        <w:tc>
          <w:tcPr>
            <w:tcW w:w="1742" w:type="dxa"/>
            <w:vAlign w:val="center"/>
          </w:tcPr>
          <w:p w14:paraId="62AEF86E">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指定现场</w:t>
            </w:r>
          </w:p>
        </w:tc>
        <w:tc>
          <w:tcPr>
            <w:tcW w:w="5170" w:type="dxa"/>
            <w:vAlign w:val="center"/>
          </w:tcPr>
          <w:p w14:paraId="6D7D8733">
            <w:pPr>
              <w:rPr>
                <w:rFonts w:hint="eastAsia" w:ascii="宋体" w:hAnsi="宋体" w:eastAsia="宋体" w:cs="宋体"/>
                <w:color w:val="auto"/>
                <w:sz w:val="24"/>
                <w:szCs w:val="24"/>
                <w:highlight w:val="none"/>
              </w:rPr>
            </w:pPr>
          </w:p>
        </w:tc>
      </w:tr>
      <w:tr w14:paraId="30E87C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B9154D7">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1709D36">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第7.2款</w:t>
            </w:r>
          </w:p>
        </w:tc>
        <w:tc>
          <w:tcPr>
            <w:tcW w:w="1742" w:type="dxa"/>
            <w:vAlign w:val="center"/>
          </w:tcPr>
          <w:p w14:paraId="084C0A0C">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运输特殊要求</w:t>
            </w:r>
          </w:p>
        </w:tc>
        <w:tc>
          <w:tcPr>
            <w:tcW w:w="5170" w:type="dxa"/>
            <w:vAlign w:val="center"/>
          </w:tcPr>
          <w:p w14:paraId="682A1159">
            <w:pPr>
              <w:rPr>
                <w:rFonts w:hint="eastAsia" w:ascii="宋体" w:hAnsi="宋体" w:eastAsia="宋体" w:cs="宋体"/>
                <w:color w:val="auto"/>
                <w:sz w:val="24"/>
                <w:szCs w:val="24"/>
                <w:highlight w:val="none"/>
              </w:rPr>
            </w:pPr>
          </w:p>
        </w:tc>
      </w:tr>
      <w:tr w14:paraId="69C714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20B1BF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F3C282B">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第7.3款</w:t>
            </w:r>
          </w:p>
        </w:tc>
        <w:tc>
          <w:tcPr>
            <w:tcW w:w="1742" w:type="dxa"/>
            <w:vAlign w:val="center"/>
          </w:tcPr>
          <w:p w14:paraId="21DDF33B">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保险要求</w:t>
            </w:r>
          </w:p>
        </w:tc>
        <w:tc>
          <w:tcPr>
            <w:tcW w:w="5170" w:type="dxa"/>
            <w:vAlign w:val="center"/>
          </w:tcPr>
          <w:p w14:paraId="5AC8F0B4">
            <w:pPr>
              <w:rPr>
                <w:rFonts w:hint="eastAsia" w:ascii="宋体" w:hAnsi="宋体" w:eastAsia="宋体" w:cs="宋体"/>
                <w:color w:val="auto"/>
                <w:sz w:val="24"/>
                <w:szCs w:val="24"/>
                <w:highlight w:val="none"/>
              </w:rPr>
            </w:pPr>
          </w:p>
        </w:tc>
      </w:tr>
      <w:tr w14:paraId="085A5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5D62E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AA7207D">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第8.2（1）项</w:t>
            </w:r>
          </w:p>
        </w:tc>
        <w:tc>
          <w:tcPr>
            <w:tcW w:w="1742" w:type="dxa"/>
            <w:vAlign w:val="center"/>
          </w:tcPr>
          <w:p w14:paraId="38963194">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4F8D042">
            <w:pPr>
              <w:autoSpaceDE w:val="0"/>
              <w:autoSpaceDN w:val="0"/>
              <w:adjustRightInd w:val="0"/>
              <w:snapToGrid w:val="0"/>
              <w:ind w:firstLine="480" w:firstLineChars="200"/>
              <w:jc w:val="left"/>
              <w:rPr>
                <w:rFonts w:hint="eastAsia" w:ascii="宋体" w:hAnsi="宋体" w:eastAsia="宋体" w:cs="宋体"/>
                <w:color w:val="auto"/>
                <w:sz w:val="24"/>
                <w:szCs w:val="24"/>
                <w:highlight w:val="none"/>
              </w:rPr>
            </w:pPr>
          </w:p>
        </w:tc>
      </w:tr>
      <w:tr w14:paraId="5AE84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CDAEBEB">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94ED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第8.2（3）项</w:t>
            </w:r>
          </w:p>
        </w:tc>
        <w:tc>
          <w:tcPr>
            <w:tcW w:w="1742" w:type="dxa"/>
            <w:vAlign w:val="center"/>
          </w:tcPr>
          <w:p w14:paraId="257372D7">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货物质量缺陷</w:t>
            </w:r>
          </w:p>
          <w:p w14:paraId="590973ED">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5AB1326C">
            <w:pPr>
              <w:adjustRightInd w:val="0"/>
              <w:snapToGrid w:val="0"/>
              <w:jc w:val="left"/>
              <w:rPr>
                <w:rFonts w:hint="eastAsia" w:ascii="宋体" w:hAnsi="宋体" w:eastAsia="宋体" w:cs="宋体"/>
                <w:color w:val="auto"/>
                <w:sz w:val="24"/>
                <w:szCs w:val="24"/>
                <w:highlight w:val="none"/>
              </w:rPr>
            </w:pPr>
          </w:p>
        </w:tc>
      </w:tr>
      <w:tr w14:paraId="7069B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C231A2">
            <w:pPr>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3F6D8CA">
            <w:pPr>
              <w:pStyle w:val="73"/>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第11.1款</w:t>
            </w:r>
          </w:p>
        </w:tc>
        <w:tc>
          <w:tcPr>
            <w:tcW w:w="1742" w:type="dxa"/>
            <w:vAlign w:val="center"/>
          </w:tcPr>
          <w:p w14:paraId="2FE7750E">
            <w:pPr>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其他应当保密的信息</w:t>
            </w:r>
          </w:p>
        </w:tc>
        <w:tc>
          <w:tcPr>
            <w:tcW w:w="5170" w:type="dxa"/>
            <w:vAlign w:val="center"/>
          </w:tcPr>
          <w:p w14:paraId="5D82725A">
            <w:pPr>
              <w:adjustRightInd w:val="0"/>
              <w:snapToGrid w:val="0"/>
              <w:jc w:val="left"/>
              <w:rPr>
                <w:rFonts w:hint="eastAsia" w:ascii="宋体" w:hAnsi="宋体" w:eastAsia="宋体" w:cs="宋体"/>
                <w:color w:val="auto"/>
                <w:sz w:val="24"/>
                <w:szCs w:val="24"/>
                <w:highlight w:val="none"/>
              </w:rPr>
            </w:pPr>
          </w:p>
        </w:tc>
      </w:tr>
      <w:tr w14:paraId="4933E6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3E3DB4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5F12F8">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第12.2款</w:t>
            </w:r>
          </w:p>
        </w:tc>
        <w:tc>
          <w:tcPr>
            <w:tcW w:w="1742" w:type="dxa"/>
            <w:vAlign w:val="center"/>
          </w:tcPr>
          <w:p w14:paraId="1567A371">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合同价款支付时间</w:t>
            </w:r>
          </w:p>
        </w:tc>
        <w:tc>
          <w:tcPr>
            <w:tcW w:w="5170" w:type="dxa"/>
            <w:vAlign w:val="center"/>
          </w:tcPr>
          <w:p w14:paraId="43F5D688">
            <w:pPr>
              <w:adjustRightInd w:val="0"/>
              <w:snapToGrid w:val="0"/>
              <w:jc w:val="left"/>
              <w:rPr>
                <w:rFonts w:hint="eastAsia" w:ascii="宋体" w:hAnsi="宋体" w:eastAsia="宋体" w:cs="宋体"/>
                <w:color w:val="auto"/>
                <w:sz w:val="24"/>
                <w:szCs w:val="24"/>
                <w:highlight w:val="none"/>
              </w:rPr>
            </w:pPr>
          </w:p>
        </w:tc>
      </w:tr>
      <w:tr w14:paraId="6B77F0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2D773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6446B20">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第13.2款</w:t>
            </w:r>
          </w:p>
        </w:tc>
        <w:tc>
          <w:tcPr>
            <w:tcW w:w="1742" w:type="dxa"/>
            <w:vAlign w:val="center"/>
          </w:tcPr>
          <w:p w14:paraId="19CE9028">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履约保证金不予退还的情形</w:t>
            </w:r>
          </w:p>
        </w:tc>
        <w:tc>
          <w:tcPr>
            <w:tcW w:w="5170" w:type="dxa"/>
            <w:vAlign w:val="center"/>
          </w:tcPr>
          <w:p w14:paraId="247D06BB">
            <w:pPr>
              <w:adjustRightInd w:val="0"/>
              <w:snapToGrid w:val="0"/>
              <w:jc w:val="left"/>
              <w:rPr>
                <w:rFonts w:hint="eastAsia" w:ascii="宋体" w:hAnsi="宋体" w:eastAsia="宋体" w:cs="宋体"/>
                <w:color w:val="auto"/>
                <w:sz w:val="24"/>
                <w:szCs w:val="24"/>
                <w:highlight w:val="none"/>
              </w:rPr>
            </w:pPr>
          </w:p>
        </w:tc>
      </w:tr>
      <w:tr w14:paraId="29158E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48A98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D926A">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第13.3款</w:t>
            </w:r>
          </w:p>
        </w:tc>
        <w:tc>
          <w:tcPr>
            <w:tcW w:w="1742" w:type="dxa"/>
            <w:vAlign w:val="center"/>
          </w:tcPr>
          <w:p w14:paraId="4906C0A7">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履约保证金退还时间及逾期退还的违约金</w:t>
            </w:r>
          </w:p>
        </w:tc>
        <w:tc>
          <w:tcPr>
            <w:tcW w:w="5170" w:type="dxa"/>
            <w:vAlign w:val="center"/>
          </w:tcPr>
          <w:p w14:paraId="23199FD6">
            <w:pPr>
              <w:adjustRightInd w:val="0"/>
              <w:snapToGrid w:val="0"/>
              <w:jc w:val="left"/>
              <w:rPr>
                <w:rFonts w:hint="eastAsia" w:ascii="宋体" w:hAnsi="宋体" w:eastAsia="宋体" w:cs="宋体"/>
                <w:color w:val="auto"/>
                <w:sz w:val="24"/>
                <w:szCs w:val="24"/>
                <w:highlight w:val="none"/>
              </w:rPr>
            </w:pPr>
          </w:p>
        </w:tc>
      </w:tr>
      <w:tr w14:paraId="138C93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AF7D3E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A1C50">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第14.1（3）项</w:t>
            </w:r>
          </w:p>
        </w:tc>
        <w:tc>
          <w:tcPr>
            <w:tcW w:w="1742" w:type="dxa"/>
            <w:vAlign w:val="center"/>
          </w:tcPr>
          <w:p w14:paraId="5D6D1482">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运行监督、维修期限</w:t>
            </w:r>
          </w:p>
        </w:tc>
        <w:tc>
          <w:tcPr>
            <w:tcW w:w="5170" w:type="dxa"/>
            <w:vAlign w:val="center"/>
          </w:tcPr>
          <w:p w14:paraId="3CB8AB33">
            <w:pPr>
              <w:adjustRightInd w:val="0"/>
              <w:snapToGrid w:val="0"/>
              <w:jc w:val="left"/>
              <w:rPr>
                <w:rFonts w:hint="eastAsia" w:ascii="宋体" w:hAnsi="宋体" w:eastAsia="宋体" w:cs="宋体"/>
                <w:color w:val="auto"/>
                <w:sz w:val="24"/>
                <w:szCs w:val="24"/>
                <w:highlight w:val="none"/>
              </w:rPr>
            </w:pPr>
          </w:p>
        </w:tc>
      </w:tr>
      <w:tr w14:paraId="01AA7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30561C4">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45200">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第14.1（5）项</w:t>
            </w:r>
          </w:p>
        </w:tc>
        <w:tc>
          <w:tcPr>
            <w:tcW w:w="1742" w:type="dxa"/>
            <w:vAlign w:val="center"/>
          </w:tcPr>
          <w:p w14:paraId="7F4AB3DF">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货物回收的约定</w:t>
            </w:r>
          </w:p>
        </w:tc>
        <w:tc>
          <w:tcPr>
            <w:tcW w:w="5170" w:type="dxa"/>
            <w:vAlign w:val="center"/>
          </w:tcPr>
          <w:p w14:paraId="6FE36519">
            <w:pPr>
              <w:adjustRightInd w:val="0"/>
              <w:snapToGrid w:val="0"/>
              <w:jc w:val="left"/>
              <w:rPr>
                <w:rFonts w:hint="eastAsia" w:ascii="宋体" w:hAnsi="宋体" w:eastAsia="宋体" w:cs="宋体"/>
                <w:color w:val="auto"/>
                <w:sz w:val="24"/>
                <w:szCs w:val="24"/>
                <w:highlight w:val="none"/>
              </w:rPr>
            </w:pPr>
          </w:p>
        </w:tc>
      </w:tr>
      <w:tr w14:paraId="2B6667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2A2724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D067B1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第14.1（6）项</w:t>
            </w:r>
          </w:p>
        </w:tc>
        <w:tc>
          <w:tcPr>
            <w:tcW w:w="1742" w:type="dxa"/>
            <w:vAlign w:val="center"/>
          </w:tcPr>
          <w:p w14:paraId="6CABF5EA">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C05F3CB">
            <w:pPr>
              <w:adjustRightInd w:val="0"/>
              <w:snapToGrid w:val="0"/>
              <w:jc w:val="left"/>
              <w:rPr>
                <w:rFonts w:hint="eastAsia" w:ascii="宋体" w:hAnsi="宋体" w:eastAsia="宋体" w:cs="宋体"/>
                <w:color w:val="auto"/>
                <w:sz w:val="24"/>
                <w:szCs w:val="24"/>
                <w:highlight w:val="none"/>
              </w:rPr>
            </w:pPr>
          </w:p>
        </w:tc>
      </w:tr>
      <w:tr w14:paraId="6AC23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2ABA789">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E46FE39">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第15.1款</w:t>
            </w:r>
          </w:p>
        </w:tc>
        <w:tc>
          <w:tcPr>
            <w:tcW w:w="1742" w:type="dxa"/>
            <w:vAlign w:val="center"/>
          </w:tcPr>
          <w:p w14:paraId="6493A72C">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修理、重作、更换相关具体规定</w:t>
            </w:r>
          </w:p>
        </w:tc>
        <w:tc>
          <w:tcPr>
            <w:tcW w:w="5170" w:type="dxa"/>
            <w:vAlign w:val="center"/>
          </w:tcPr>
          <w:p w14:paraId="0F81345B">
            <w:pPr>
              <w:adjustRightInd w:val="0"/>
              <w:snapToGrid w:val="0"/>
              <w:jc w:val="left"/>
              <w:rPr>
                <w:rFonts w:hint="eastAsia" w:ascii="宋体" w:hAnsi="宋体" w:eastAsia="宋体" w:cs="宋体"/>
                <w:color w:val="auto"/>
                <w:sz w:val="24"/>
                <w:szCs w:val="24"/>
                <w:highlight w:val="none"/>
              </w:rPr>
            </w:pPr>
          </w:p>
        </w:tc>
      </w:tr>
      <w:tr w14:paraId="2BECF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46D736">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3BB0364">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第15.2（2）项</w:t>
            </w:r>
          </w:p>
        </w:tc>
        <w:tc>
          <w:tcPr>
            <w:tcW w:w="1742" w:type="dxa"/>
            <w:vAlign w:val="center"/>
          </w:tcPr>
          <w:p w14:paraId="287DE5D3">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00E6A8F9">
            <w:pPr>
              <w:adjustRightInd w:val="0"/>
              <w:snapToGrid w:val="0"/>
              <w:jc w:val="left"/>
              <w:rPr>
                <w:rFonts w:hint="eastAsia" w:ascii="宋体" w:hAnsi="宋体" w:eastAsia="宋体" w:cs="宋体"/>
                <w:color w:val="auto"/>
                <w:sz w:val="24"/>
                <w:szCs w:val="24"/>
                <w:highlight w:val="none"/>
                <w:u w:val="single"/>
              </w:rPr>
            </w:pPr>
          </w:p>
        </w:tc>
      </w:tr>
      <w:tr w14:paraId="365A00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26C192">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2DCD52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第15.3款</w:t>
            </w:r>
          </w:p>
        </w:tc>
        <w:tc>
          <w:tcPr>
            <w:tcW w:w="1742" w:type="dxa"/>
            <w:vAlign w:val="center"/>
          </w:tcPr>
          <w:p w14:paraId="3CE9B92B">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6D718075">
            <w:pPr>
              <w:adjustRightInd w:val="0"/>
              <w:snapToGrid w:val="0"/>
              <w:jc w:val="left"/>
              <w:rPr>
                <w:rFonts w:hint="eastAsia" w:ascii="宋体" w:hAnsi="宋体" w:eastAsia="宋体" w:cs="宋体"/>
                <w:color w:val="auto"/>
                <w:sz w:val="24"/>
                <w:szCs w:val="24"/>
                <w:highlight w:val="none"/>
                <w:u w:val="single"/>
              </w:rPr>
            </w:pPr>
          </w:p>
        </w:tc>
      </w:tr>
      <w:tr w14:paraId="66D82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5D387AC">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F08ADA6">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第15.4款</w:t>
            </w:r>
          </w:p>
        </w:tc>
        <w:tc>
          <w:tcPr>
            <w:tcW w:w="1742" w:type="dxa"/>
            <w:tcBorders>
              <w:left w:val="single" w:color="auto" w:sz="2" w:space="0"/>
              <w:bottom w:val="single" w:color="auto" w:sz="2" w:space="0"/>
              <w:right w:val="single" w:color="auto" w:sz="2" w:space="0"/>
            </w:tcBorders>
            <w:vAlign w:val="center"/>
          </w:tcPr>
          <w:p w14:paraId="5AFA7CD0">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56932AA7">
            <w:pPr>
              <w:adjustRightInd w:val="0"/>
              <w:snapToGrid w:val="0"/>
              <w:jc w:val="left"/>
              <w:rPr>
                <w:rFonts w:hint="eastAsia" w:ascii="宋体" w:hAnsi="宋体" w:eastAsia="宋体" w:cs="宋体"/>
                <w:color w:val="auto"/>
                <w:sz w:val="24"/>
                <w:szCs w:val="24"/>
                <w:highlight w:val="none"/>
                <w:u w:val="single"/>
              </w:rPr>
            </w:pPr>
          </w:p>
        </w:tc>
      </w:tr>
      <w:tr w14:paraId="0F5120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CB0A6E7">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FFF9EF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第19.2款</w:t>
            </w:r>
          </w:p>
        </w:tc>
        <w:tc>
          <w:tcPr>
            <w:tcW w:w="1742" w:type="dxa"/>
            <w:tcBorders>
              <w:top w:val="single" w:color="auto" w:sz="2" w:space="0"/>
              <w:left w:val="single" w:color="auto" w:sz="2" w:space="0"/>
              <w:right w:val="single" w:color="auto" w:sz="2" w:space="0"/>
            </w:tcBorders>
            <w:vAlign w:val="center"/>
          </w:tcPr>
          <w:p w14:paraId="3C817824">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解决争议的方法</w:t>
            </w:r>
          </w:p>
        </w:tc>
        <w:tc>
          <w:tcPr>
            <w:tcW w:w="5170" w:type="dxa"/>
            <w:tcBorders>
              <w:top w:val="single" w:color="auto" w:sz="2" w:space="0"/>
              <w:left w:val="single" w:color="auto" w:sz="2" w:space="0"/>
            </w:tcBorders>
            <w:vAlign w:val="center"/>
          </w:tcPr>
          <w:p w14:paraId="4DEAC8D5">
            <w:pPr>
              <w:autoSpaceDE w:val="0"/>
              <w:autoSpaceDN w:val="0"/>
              <w:adjustRightInd w:val="0"/>
              <w:snapToGrid w:val="0"/>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因本合同及合同有关事项发生的争议，按下列第</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种方式解决：</w:t>
            </w:r>
          </w:p>
          <w:p w14:paraId="43275F5B">
            <w:pPr>
              <w:autoSpaceDE w:val="0"/>
              <w:autoSpaceDN w:val="0"/>
              <w:adjustRightInd w:val="0"/>
              <w:snapToGrid w:val="0"/>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（1）向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仲裁委员会申请仲裁，仲裁地点为</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w:t>
            </w:r>
          </w:p>
          <w:p w14:paraId="588206F1">
            <w:pPr>
              <w:adjustRightInd w:val="0"/>
              <w:snapToGrid w:val="0"/>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rPr>
              <w:t>（2）向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人民法院起诉。</w:t>
            </w:r>
          </w:p>
        </w:tc>
      </w:tr>
      <w:tr w14:paraId="5C8C74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3648282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93A5E28">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第23.1款</w:t>
            </w:r>
          </w:p>
        </w:tc>
        <w:tc>
          <w:tcPr>
            <w:tcW w:w="1742" w:type="dxa"/>
            <w:vAlign w:val="center"/>
          </w:tcPr>
          <w:p w14:paraId="1F3AD829">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其他专用条款</w:t>
            </w:r>
          </w:p>
        </w:tc>
        <w:tc>
          <w:tcPr>
            <w:tcW w:w="5170" w:type="dxa"/>
            <w:vAlign w:val="center"/>
          </w:tcPr>
          <w:p w14:paraId="2F835624">
            <w:pPr>
              <w:adjustRightInd w:val="0"/>
              <w:snapToGrid w:val="0"/>
              <w:jc w:val="left"/>
              <w:rPr>
                <w:rFonts w:hint="eastAsia" w:ascii="宋体" w:hAnsi="宋体" w:eastAsia="宋体" w:cs="宋体"/>
                <w:color w:val="auto"/>
                <w:sz w:val="24"/>
                <w:szCs w:val="24"/>
                <w:highlight w:val="none"/>
              </w:rPr>
            </w:pPr>
          </w:p>
        </w:tc>
      </w:tr>
    </w:tbl>
    <w:p w14:paraId="1353A40C">
      <w:pPr>
        <w:rPr>
          <w:rFonts w:hint="eastAsia" w:ascii="宋体" w:hAnsi="宋体" w:eastAsia="宋体" w:cs="宋体"/>
          <w:color w:val="auto"/>
          <w:sz w:val="24"/>
          <w:szCs w:val="24"/>
          <w:highlight w:val="none"/>
        </w:rPr>
      </w:pPr>
    </w:p>
    <w:p w14:paraId="0AC92512">
      <w:pPr>
        <w:spacing w:line="360" w:lineRule="auto"/>
        <w:jc w:val="center"/>
        <w:outlineLvl w:val="0"/>
        <w:rPr>
          <w:rFonts w:hint="eastAsia" w:asciiTheme="minorEastAsia" w:hAnsiTheme="minorEastAsia" w:eastAsiaTheme="minorEastAsia"/>
          <w:b/>
          <w:color w:val="auto"/>
          <w:sz w:val="28"/>
          <w:highlight w:val="none"/>
        </w:rPr>
      </w:pPr>
    </w:p>
    <w:p w14:paraId="619FECAB">
      <w:pPr>
        <w:spacing w:line="360" w:lineRule="auto"/>
        <w:jc w:val="center"/>
        <w:outlineLvl w:val="0"/>
        <w:rPr>
          <w:rFonts w:hint="eastAsia" w:asciiTheme="minorEastAsia" w:hAnsiTheme="minorEastAsia" w:eastAsiaTheme="minorEastAsia"/>
          <w:b/>
          <w:color w:val="auto"/>
          <w:sz w:val="28"/>
          <w:highlight w:val="none"/>
        </w:rPr>
      </w:pPr>
    </w:p>
    <w:p w14:paraId="4F4740C0">
      <w:pPr>
        <w:spacing w:line="360" w:lineRule="auto"/>
        <w:jc w:val="center"/>
        <w:outlineLvl w:val="0"/>
        <w:rPr>
          <w:rFonts w:hint="eastAsia" w:asciiTheme="minorEastAsia" w:hAnsiTheme="minorEastAsia" w:eastAsiaTheme="minorEastAsia"/>
          <w:b/>
          <w:color w:val="auto"/>
          <w:sz w:val="28"/>
          <w:highlight w:val="none"/>
        </w:rPr>
      </w:pPr>
    </w:p>
    <w:p w14:paraId="7B8BDD6A">
      <w:pPr>
        <w:spacing w:line="360" w:lineRule="auto"/>
        <w:jc w:val="center"/>
        <w:outlineLvl w:val="0"/>
        <w:rPr>
          <w:rFonts w:hint="eastAsia" w:asciiTheme="minorEastAsia" w:hAnsiTheme="minorEastAsia" w:eastAsiaTheme="minorEastAsia"/>
          <w:b/>
          <w:color w:val="auto"/>
          <w:sz w:val="28"/>
          <w:highlight w:val="none"/>
        </w:rPr>
      </w:pPr>
    </w:p>
    <w:p w14:paraId="3FBA1947">
      <w:pPr>
        <w:spacing w:line="360" w:lineRule="auto"/>
        <w:jc w:val="center"/>
        <w:outlineLvl w:val="0"/>
        <w:rPr>
          <w:rFonts w:hint="eastAsia" w:asciiTheme="minorEastAsia" w:hAnsiTheme="minorEastAsia" w:eastAsiaTheme="minorEastAsia"/>
          <w:b/>
          <w:color w:val="auto"/>
          <w:sz w:val="28"/>
          <w:highlight w:val="none"/>
        </w:rPr>
      </w:pPr>
    </w:p>
    <w:p w14:paraId="616896AD">
      <w:pPr>
        <w:spacing w:line="360" w:lineRule="auto"/>
        <w:jc w:val="center"/>
        <w:outlineLvl w:val="0"/>
        <w:rPr>
          <w:rFonts w:hint="eastAsia" w:asciiTheme="minorEastAsia" w:hAnsiTheme="minorEastAsia" w:eastAsiaTheme="minorEastAsia"/>
          <w:b/>
          <w:color w:val="auto"/>
          <w:sz w:val="28"/>
          <w:highlight w:val="none"/>
        </w:rPr>
      </w:pPr>
    </w:p>
    <w:p w14:paraId="04695B8B">
      <w:pPr>
        <w:spacing w:line="360" w:lineRule="auto"/>
        <w:jc w:val="center"/>
        <w:outlineLvl w:val="0"/>
        <w:rPr>
          <w:rFonts w:hint="eastAsia" w:asciiTheme="minorEastAsia" w:hAnsiTheme="minorEastAsia" w:eastAsiaTheme="minorEastAsia"/>
          <w:b/>
          <w:color w:val="auto"/>
          <w:sz w:val="28"/>
          <w:highlight w:val="none"/>
        </w:rPr>
      </w:pPr>
    </w:p>
    <w:p w14:paraId="58E99E2A">
      <w:pPr>
        <w:spacing w:line="360" w:lineRule="auto"/>
        <w:jc w:val="center"/>
        <w:outlineLvl w:val="0"/>
        <w:rPr>
          <w:rFonts w:hint="eastAsia" w:asciiTheme="minorEastAsia" w:hAnsiTheme="minorEastAsia" w:eastAsiaTheme="minorEastAsia"/>
          <w:b/>
          <w:color w:val="auto"/>
          <w:sz w:val="28"/>
          <w:highlight w:val="none"/>
        </w:rPr>
      </w:pPr>
    </w:p>
    <w:p w14:paraId="156593B7">
      <w:pPr>
        <w:spacing w:line="360" w:lineRule="auto"/>
        <w:jc w:val="center"/>
        <w:outlineLvl w:val="0"/>
        <w:rPr>
          <w:rFonts w:hint="eastAsia" w:asciiTheme="minorEastAsia" w:hAnsiTheme="minorEastAsia" w:eastAsiaTheme="minorEastAsia"/>
          <w:b/>
          <w:color w:val="auto"/>
          <w:sz w:val="28"/>
          <w:highlight w:val="none"/>
        </w:rPr>
      </w:pPr>
      <w:bookmarkStart w:id="78" w:name="_Toc9493"/>
      <w:r>
        <w:rPr>
          <w:rFonts w:hint="eastAsia" w:asciiTheme="minorEastAsia" w:hAnsiTheme="minorEastAsia" w:eastAsiaTheme="minorEastAsia"/>
          <w:b/>
          <w:color w:val="auto"/>
          <w:sz w:val="28"/>
          <w:highlight w:val="none"/>
        </w:rPr>
        <w:t>第六章  投标文件格式</w:t>
      </w:r>
      <w:bookmarkEnd w:id="78"/>
    </w:p>
    <w:p w14:paraId="6888C9ED">
      <w:pPr>
        <w:jc w:val="right"/>
        <w:rPr>
          <w:rFonts w:hint="eastAsia" w:ascii="宋体" w:hAnsi="宋体" w:eastAsia="宋体" w:cs="宋体"/>
          <w:b/>
          <w:bCs/>
          <w:color w:val="auto"/>
          <w:sz w:val="44"/>
          <w:szCs w:val="44"/>
          <w:highlight w:val="none"/>
          <w:lang w:val="en-US" w:eastAsia="zh-CN"/>
        </w:rPr>
      </w:pPr>
      <w:bookmarkStart w:id="79" w:name="_Toc5555"/>
      <w:bookmarkStart w:id="80" w:name="_Toc28960"/>
      <w:r>
        <w:rPr>
          <w:rFonts w:hint="eastAsia" w:ascii="宋体" w:hAnsi="宋体" w:eastAsia="宋体" w:cs="宋体"/>
          <w:b/>
          <w:bCs/>
          <w:color w:val="auto"/>
          <w:sz w:val="44"/>
          <w:szCs w:val="44"/>
          <w:highlight w:val="none"/>
          <w:lang w:val="en-US" w:eastAsia="zh-CN"/>
        </w:rPr>
        <w:t>正/副本</w:t>
      </w:r>
    </w:p>
    <w:p w14:paraId="62B78268">
      <w:pPr>
        <w:rPr>
          <w:rFonts w:hint="eastAsia" w:eastAsia="黑体"/>
          <w:color w:val="auto"/>
          <w:sz w:val="20"/>
          <w:highlight w:val="none"/>
        </w:rPr>
      </w:pPr>
    </w:p>
    <w:p w14:paraId="3512AC8B">
      <w:pPr>
        <w:spacing w:line="900" w:lineRule="exact"/>
        <w:jc w:val="center"/>
        <w:outlineLvl w:val="1"/>
        <w:rPr>
          <w:rFonts w:hint="eastAsia" w:asciiTheme="minorEastAsia" w:hAnsiTheme="minorEastAsia" w:eastAsiaTheme="minorEastAsia"/>
          <w:b/>
          <w:color w:val="auto"/>
          <w:sz w:val="72"/>
          <w:highlight w:val="none"/>
        </w:rPr>
      </w:pPr>
      <w:bookmarkStart w:id="81" w:name="_Toc11127"/>
      <w:bookmarkStart w:id="82" w:name="_Toc651"/>
      <w:r>
        <w:rPr>
          <w:rFonts w:hint="eastAsia" w:asciiTheme="minorEastAsia" w:hAnsiTheme="minorEastAsia" w:eastAsiaTheme="minorEastAsia"/>
          <w:b/>
          <w:color w:val="auto"/>
          <w:sz w:val="72"/>
          <w:highlight w:val="none"/>
        </w:rPr>
        <w:t>投</w:t>
      </w:r>
      <w:bookmarkEnd w:id="81"/>
      <w:bookmarkEnd w:id="82"/>
    </w:p>
    <w:p w14:paraId="28722564">
      <w:pPr>
        <w:spacing w:line="900" w:lineRule="exact"/>
        <w:jc w:val="center"/>
        <w:rPr>
          <w:rFonts w:hint="eastAsia" w:asciiTheme="minorEastAsia" w:hAnsiTheme="minorEastAsia" w:eastAsiaTheme="minorEastAsia"/>
          <w:b/>
          <w:color w:val="auto"/>
          <w:sz w:val="72"/>
          <w:highlight w:val="none"/>
        </w:rPr>
      </w:pPr>
    </w:p>
    <w:p w14:paraId="3E113F73">
      <w:pPr>
        <w:spacing w:line="900" w:lineRule="exact"/>
        <w:jc w:val="center"/>
        <w:outlineLvl w:val="1"/>
        <w:rPr>
          <w:rFonts w:hint="eastAsia" w:asciiTheme="minorEastAsia" w:hAnsiTheme="minorEastAsia" w:eastAsiaTheme="minorEastAsia"/>
          <w:b/>
          <w:color w:val="auto"/>
          <w:sz w:val="72"/>
          <w:highlight w:val="none"/>
        </w:rPr>
      </w:pPr>
      <w:bookmarkStart w:id="83" w:name="_Toc6148"/>
      <w:bookmarkStart w:id="84" w:name="_Toc12605"/>
      <w:r>
        <w:rPr>
          <w:rFonts w:hint="eastAsia" w:asciiTheme="minorEastAsia" w:hAnsiTheme="minorEastAsia" w:eastAsiaTheme="minorEastAsia"/>
          <w:b/>
          <w:color w:val="auto"/>
          <w:sz w:val="72"/>
          <w:highlight w:val="none"/>
        </w:rPr>
        <w:t>标</w:t>
      </w:r>
      <w:bookmarkEnd w:id="83"/>
      <w:bookmarkEnd w:id="84"/>
    </w:p>
    <w:p w14:paraId="36BBFB9D">
      <w:pPr>
        <w:spacing w:line="900" w:lineRule="exact"/>
        <w:jc w:val="center"/>
        <w:rPr>
          <w:rFonts w:hint="eastAsia" w:asciiTheme="minorEastAsia" w:hAnsiTheme="minorEastAsia" w:eastAsiaTheme="minorEastAsia"/>
          <w:b/>
          <w:color w:val="auto"/>
          <w:sz w:val="72"/>
          <w:highlight w:val="none"/>
        </w:rPr>
      </w:pPr>
    </w:p>
    <w:p w14:paraId="64B091E5">
      <w:pPr>
        <w:spacing w:line="900" w:lineRule="exact"/>
        <w:jc w:val="center"/>
        <w:outlineLvl w:val="1"/>
        <w:rPr>
          <w:rFonts w:hint="eastAsia" w:asciiTheme="minorEastAsia" w:hAnsiTheme="minorEastAsia" w:eastAsiaTheme="minorEastAsia"/>
          <w:b/>
          <w:color w:val="auto"/>
          <w:sz w:val="72"/>
          <w:highlight w:val="none"/>
        </w:rPr>
      </w:pPr>
      <w:bookmarkStart w:id="85" w:name="_Toc1338"/>
      <w:bookmarkStart w:id="86" w:name="_Toc11353"/>
      <w:r>
        <w:rPr>
          <w:rFonts w:hint="eastAsia" w:asciiTheme="minorEastAsia" w:hAnsiTheme="minorEastAsia" w:eastAsiaTheme="minorEastAsia"/>
          <w:b/>
          <w:color w:val="auto"/>
          <w:sz w:val="72"/>
          <w:highlight w:val="none"/>
        </w:rPr>
        <w:t>文</w:t>
      </w:r>
      <w:bookmarkEnd w:id="85"/>
      <w:bookmarkEnd w:id="86"/>
    </w:p>
    <w:p w14:paraId="64D9F28E">
      <w:pPr>
        <w:spacing w:line="900" w:lineRule="exact"/>
        <w:jc w:val="center"/>
        <w:rPr>
          <w:rFonts w:hint="eastAsia" w:asciiTheme="minorEastAsia" w:hAnsiTheme="minorEastAsia" w:eastAsiaTheme="minorEastAsia"/>
          <w:b/>
          <w:color w:val="auto"/>
          <w:sz w:val="72"/>
          <w:highlight w:val="none"/>
        </w:rPr>
      </w:pPr>
    </w:p>
    <w:p w14:paraId="183B0ECD">
      <w:pPr>
        <w:jc w:val="center"/>
        <w:outlineLvl w:val="1"/>
        <w:rPr>
          <w:rFonts w:hint="eastAsia" w:asciiTheme="minorEastAsia" w:hAnsiTheme="minorEastAsia" w:eastAsiaTheme="minorEastAsia"/>
          <w:b/>
          <w:color w:val="auto"/>
          <w:sz w:val="72"/>
          <w:highlight w:val="none"/>
        </w:rPr>
      </w:pPr>
      <w:bookmarkStart w:id="87" w:name="_Toc20528"/>
      <w:bookmarkStart w:id="88" w:name="_Toc10796"/>
      <w:r>
        <w:rPr>
          <w:rFonts w:hint="eastAsia" w:asciiTheme="minorEastAsia" w:hAnsiTheme="minorEastAsia" w:eastAsiaTheme="minorEastAsia"/>
          <w:b/>
          <w:color w:val="auto"/>
          <w:sz w:val="72"/>
          <w:highlight w:val="none"/>
        </w:rPr>
        <w:t>件</w:t>
      </w:r>
      <w:bookmarkEnd w:id="87"/>
      <w:bookmarkEnd w:id="88"/>
    </w:p>
    <w:p w14:paraId="2CB38074">
      <w:pPr>
        <w:rPr>
          <w:rFonts w:hint="eastAsia" w:ascii="宋体" w:hAnsi="宋体" w:eastAsia="宋体" w:cs="宋体"/>
          <w:color w:val="auto"/>
          <w:sz w:val="28"/>
          <w:szCs w:val="28"/>
          <w:highlight w:val="none"/>
        </w:rPr>
      </w:pPr>
    </w:p>
    <w:p w14:paraId="7D539B88">
      <w:pPr>
        <w:rPr>
          <w:rFonts w:hint="eastAsia" w:ascii="宋体" w:hAnsi="宋体" w:eastAsia="宋体" w:cs="宋体"/>
          <w:color w:val="auto"/>
          <w:sz w:val="28"/>
          <w:szCs w:val="28"/>
          <w:highlight w:val="none"/>
        </w:rPr>
      </w:pPr>
    </w:p>
    <w:p w14:paraId="0B82B5DB">
      <w:pPr>
        <w:rPr>
          <w:rFonts w:hint="eastAsia" w:ascii="宋体" w:hAnsi="宋体" w:eastAsia="宋体" w:cs="宋体"/>
          <w:color w:val="auto"/>
          <w:sz w:val="28"/>
          <w:szCs w:val="28"/>
          <w:highlight w:val="none"/>
        </w:rPr>
      </w:pPr>
    </w:p>
    <w:p w14:paraId="3087595E">
      <w:pPr>
        <w:tabs>
          <w:tab w:val="left" w:pos="2410"/>
        </w:tabs>
        <w:autoSpaceDE w:val="0"/>
        <w:autoSpaceDN w:val="0"/>
        <w:adjustRightInd w:val="0"/>
        <w:snapToGrid w:val="0"/>
        <w:spacing w:line="360" w:lineRule="auto"/>
        <w:ind w:firstLine="643" w:firstLineChars="200"/>
        <w:rPr>
          <w:rFonts w:hint="eastAsia"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537C3793">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5F6CE6BB">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6FDC7616">
      <w:pPr>
        <w:spacing w:line="480" w:lineRule="auto"/>
        <w:ind w:firstLine="560" w:firstLineChars="200"/>
        <w:rPr>
          <w:rFonts w:hint="eastAsia" w:ascii="宋体" w:hAnsi="宋体" w:eastAsia="宋体" w:cs="宋体"/>
          <w:color w:val="auto"/>
          <w:sz w:val="28"/>
          <w:szCs w:val="28"/>
          <w:highlight w:val="none"/>
        </w:rPr>
      </w:pPr>
    </w:p>
    <w:p w14:paraId="77AB283E">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7C33D545">
      <w:pPr>
        <w:spacing w:line="400" w:lineRule="exact"/>
        <w:ind w:firstLine="562" w:firstLineChars="200"/>
        <w:rPr>
          <w:rFonts w:hint="eastAsia" w:ascii="宋体" w:hAnsi="宋体" w:eastAsia="宋体" w:cs="宋体"/>
          <w:b/>
          <w:color w:val="auto"/>
          <w:sz w:val="28"/>
          <w:szCs w:val="28"/>
          <w:highlight w:val="none"/>
          <w:lang w:bidi="ar"/>
        </w:rPr>
      </w:pPr>
    </w:p>
    <w:p w14:paraId="44D31C76">
      <w:pPr>
        <w:spacing w:line="360" w:lineRule="auto"/>
        <w:jc w:val="center"/>
        <w:outlineLvl w:val="1"/>
        <w:rPr>
          <w:rFonts w:hint="eastAsia" w:asciiTheme="minorEastAsia" w:hAnsiTheme="minorEastAsia" w:eastAsiaTheme="minorEastAsia"/>
          <w:b/>
          <w:color w:val="auto"/>
          <w:sz w:val="24"/>
          <w:highlight w:val="none"/>
        </w:rPr>
      </w:pPr>
    </w:p>
    <w:p w14:paraId="72BDE891">
      <w:pPr>
        <w:spacing w:line="360" w:lineRule="auto"/>
        <w:jc w:val="center"/>
        <w:outlineLvl w:val="1"/>
        <w:rPr>
          <w:rFonts w:hint="eastAsia" w:asciiTheme="minorEastAsia" w:hAnsiTheme="minorEastAsia" w:eastAsiaTheme="minorEastAsia"/>
          <w:b/>
          <w:color w:val="auto"/>
          <w:sz w:val="24"/>
          <w:highlight w:val="none"/>
        </w:rPr>
      </w:pPr>
    </w:p>
    <w:p w14:paraId="7821BF41">
      <w:pPr>
        <w:spacing w:line="360" w:lineRule="auto"/>
        <w:ind w:firstLine="646" w:firstLineChars="202"/>
        <w:jc w:val="center"/>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目 录</w:t>
      </w:r>
    </w:p>
    <w:p w14:paraId="36F4D016">
      <w:pPr>
        <w:spacing w:line="360" w:lineRule="auto"/>
        <w:ind w:firstLine="484" w:firstLineChars="202"/>
        <w:rPr>
          <w:rFonts w:hint="eastAsia" w:ascii="宋体" w:hAnsi="宋体" w:eastAsia="宋体" w:cs="宋体"/>
          <w:color w:val="auto"/>
          <w:sz w:val="24"/>
          <w:szCs w:val="24"/>
          <w:highlight w:val="none"/>
        </w:rPr>
      </w:pPr>
    </w:p>
    <w:p w14:paraId="24AA0881">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 xml:space="preserve">资格声明书（格式见附件）；                                                                                                                                                                                                                                                                                                                                                                                                                                                                                                                                                                                                                                                                                                                                                                                                                                                                                                                                                                                                                                                                                                                                                                                                                                                                                                                                                                                                                                                                                                                                                                                             </w:t>
      </w:r>
    </w:p>
    <w:p w14:paraId="2A150C84">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（2）授权书（格式见附件）；</w:t>
      </w:r>
    </w:p>
    <w:p w14:paraId="048DDAA8">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（3）营业执照等证明文件；</w:t>
      </w:r>
    </w:p>
    <w:p w14:paraId="2C8B498B">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（4）本项目的特定资格要求：</w:t>
      </w:r>
      <w:r>
        <w:rPr>
          <w:rFonts w:hint="eastAsia" w:ascii="宋体" w:hAnsi="宋体" w:eastAsia="宋体" w:cs="宋体"/>
          <w:color w:val="auto"/>
          <w:sz w:val="24"/>
          <w:szCs w:val="24"/>
          <w:highlight w:val="none"/>
          <w:lang w:val="en-US" w:eastAsia="zh-CN"/>
        </w:rPr>
        <w:t>无</w:t>
      </w:r>
      <w:r>
        <w:rPr>
          <w:rFonts w:hint="eastAsia" w:ascii="宋体" w:hAnsi="宋体" w:eastAsia="宋体" w:cs="宋体"/>
          <w:color w:val="auto"/>
          <w:sz w:val="24"/>
          <w:szCs w:val="24"/>
          <w:highlight w:val="none"/>
        </w:rPr>
        <w:t>。</w:t>
      </w:r>
    </w:p>
    <w:p w14:paraId="510A0312">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）开标一览表（格式见附件）；</w:t>
      </w:r>
    </w:p>
    <w:p w14:paraId="0824B18B">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）投标函（格式见附件）；</w:t>
      </w:r>
    </w:p>
    <w:p w14:paraId="02BBD979">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）投标报价表（格式见附件）；</w:t>
      </w:r>
    </w:p>
    <w:p w14:paraId="7B929E5E">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）投标响应表（格式见附件）；</w:t>
      </w:r>
    </w:p>
    <w:p w14:paraId="42D26AD2">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）诚信履约承诺函（格式见附件）；</w:t>
      </w:r>
    </w:p>
    <w:p w14:paraId="1D58CFA3">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）诚信投标承诺书（格式见附件）；</w:t>
      </w:r>
    </w:p>
    <w:p w14:paraId="73224F6B">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）采购文件中要求的评审</w:t>
      </w:r>
      <w:r>
        <w:rPr>
          <w:rFonts w:hint="eastAsia" w:ascii="宋体" w:hAnsi="宋体" w:eastAsia="宋体" w:cs="宋体"/>
          <w:color w:val="auto"/>
          <w:sz w:val="24"/>
          <w:szCs w:val="24"/>
          <w:highlight w:val="none"/>
          <w:lang w:val="en-US" w:eastAsia="zh-CN"/>
        </w:rPr>
        <w:t>评分</w:t>
      </w:r>
      <w:r>
        <w:rPr>
          <w:rFonts w:hint="eastAsia" w:ascii="宋体" w:hAnsi="宋体" w:eastAsia="宋体" w:cs="宋体"/>
          <w:color w:val="auto"/>
          <w:sz w:val="24"/>
          <w:szCs w:val="24"/>
          <w:highlight w:val="none"/>
        </w:rPr>
        <w:t>支持资料；</w:t>
      </w:r>
    </w:p>
    <w:p w14:paraId="6C7851E8">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）招标文件中要求的提供的其他相关资料；</w:t>
      </w:r>
    </w:p>
    <w:p w14:paraId="064DA659">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供应商认为需要提供的其他证明材料；</w:t>
      </w:r>
    </w:p>
    <w:p w14:paraId="6BF35C27">
      <w:pPr>
        <w:spacing w:line="360" w:lineRule="auto"/>
        <w:ind w:firstLine="484" w:firstLineChars="202"/>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）其他（如有）。</w:t>
      </w:r>
    </w:p>
    <w:p w14:paraId="3B38AD4A">
      <w:pPr>
        <w:spacing w:line="360" w:lineRule="auto"/>
        <w:jc w:val="center"/>
        <w:outlineLvl w:val="1"/>
        <w:rPr>
          <w:rFonts w:hint="eastAsia" w:asciiTheme="minorEastAsia" w:hAnsiTheme="minorEastAsia" w:eastAsiaTheme="minorEastAsia"/>
          <w:b/>
          <w:color w:val="auto"/>
          <w:sz w:val="24"/>
          <w:highlight w:val="none"/>
        </w:rPr>
      </w:pPr>
    </w:p>
    <w:p w14:paraId="63592D48">
      <w:pPr>
        <w:spacing w:line="360" w:lineRule="auto"/>
        <w:jc w:val="center"/>
        <w:outlineLvl w:val="1"/>
        <w:rPr>
          <w:rFonts w:hint="eastAsia" w:asciiTheme="minorEastAsia" w:hAnsiTheme="minorEastAsia" w:eastAsiaTheme="minorEastAsia"/>
          <w:b/>
          <w:color w:val="auto"/>
          <w:sz w:val="24"/>
          <w:highlight w:val="none"/>
        </w:rPr>
      </w:pPr>
    </w:p>
    <w:p w14:paraId="05154688">
      <w:pPr>
        <w:pStyle w:val="42"/>
        <w:rPr>
          <w:rFonts w:hint="eastAsia" w:asciiTheme="minorEastAsia" w:hAnsiTheme="minorEastAsia" w:eastAsiaTheme="minorEastAsia"/>
          <w:b/>
          <w:color w:val="auto"/>
          <w:sz w:val="24"/>
          <w:highlight w:val="none"/>
        </w:rPr>
      </w:pPr>
    </w:p>
    <w:p w14:paraId="2A1C624A">
      <w:pPr>
        <w:pStyle w:val="42"/>
        <w:rPr>
          <w:rFonts w:hint="eastAsia" w:asciiTheme="minorEastAsia" w:hAnsiTheme="minorEastAsia" w:eastAsiaTheme="minorEastAsia"/>
          <w:b/>
          <w:color w:val="auto"/>
          <w:sz w:val="24"/>
          <w:highlight w:val="none"/>
        </w:rPr>
      </w:pPr>
    </w:p>
    <w:p w14:paraId="3FDCC0F8">
      <w:pPr>
        <w:pStyle w:val="42"/>
        <w:rPr>
          <w:rFonts w:hint="eastAsia" w:asciiTheme="minorEastAsia" w:hAnsiTheme="minorEastAsia" w:eastAsiaTheme="minorEastAsia"/>
          <w:b/>
          <w:color w:val="auto"/>
          <w:sz w:val="24"/>
          <w:highlight w:val="none"/>
        </w:rPr>
      </w:pPr>
    </w:p>
    <w:p w14:paraId="14A074FC">
      <w:pPr>
        <w:pStyle w:val="42"/>
        <w:rPr>
          <w:rFonts w:hint="eastAsia" w:asciiTheme="minorEastAsia" w:hAnsiTheme="minorEastAsia" w:eastAsiaTheme="minorEastAsia"/>
          <w:b/>
          <w:color w:val="auto"/>
          <w:sz w:val="24"/>
          <w:highlight w:val="none"/>
        </w:rPr>
      </w:pPr>
    </w:p>
    <w:p w14:paraId="29C580D6">
      <w:pPr>
        <w:pStyle w:val="42"/>
        <w:rPr>
          <w:rFonts w:hint="eastAsia" w:asciiTheme="minorEastAsia" w:hAnsiTheme="minorEastAsia" w:eastAsiaTheme="minorEastAsia"/>
          <w:b/>
          <w:color w:val="auto"/>
          <w:sz w:val="24"/>
          <w:highlight w:val="none"/>
        </w:rPr>
      </w:pPr>
    </w:p>
    <w:p w14:paraId="644D6AAF">
      <w:pPr>
        <w:pStyle w:val="42"/>
        <w:rPr>
          <w:rFonts w:hint="eastAsia" w:asciiTheme="minorEastAsia" w:hAnsiTheme="minorEastAsia" w:eastAsiaTheme="minorEastAsia"/>
          <w:b/>
          <w:color w:val="auto"/>
          <w:sz w:val="24"/>
          <w:highlight w:val="none"/>
        </w:rPr>
      </w:pPr>
    </w:p>
    <w:p w14:paraId="6AAC4271">
      <w:pPr>
        <w:pStyle w:val="42"/>
        <w:rPr>
          <w:rFonts w:hint="eastAsia" w:asciiTheme="minorEastAsia" w:hAnsiTheme="minorEastAsia" w:eastAsiaTheme="minorEastAsia"/>
          <w:b/>
          <w:color w:val="auto"/>
          <w:sz w:val="24"/>
          <w:highlight w:val="none"/>
        </w:rPr>
      </w:pPr>
    </w:p>
    <w:p w14:paraId="28CBBDB6">
      <w:pPr>
        <w:pStyle w:val="42"/>
        <w:rPr>
          <w:rFonts w:hint="eastAsia" w:asciiTheme="minorEastAsia" w:hAnsiTheme="minorEastAsia" w:eastAsiaTheme="minorEastAsia"/>
          <w:b/>
          <w:color w:val="auto"/>
          <w:sz w:val="24"/>
          <w:highlight w:val="none"/>
        </w:rPr>
      </w:pPr>
    </w:p>
    <w:p w14:paraId="58FB038B">
      <w:pPr>
        <w:pStyle w:val="42"/>
        <w:rPr>
          <w:rFonts w:hint="eastAsia" w:asciiTheme="minorEastAsia" w:hAnsiTheme="minorEastAsia" w:eastAsiaTheme="minorEastAsia"/>
          <w:b/>
          <w:color w:val="auto"/>
          <w:sz w:val="24"/>
          <w:highlight w:val="none"/>
        </w:rPr>
      </w:pPr>
    </w:p>
    <w:p w14:paraId="3BC03250">
      <w:pPr>
        <w:pStyle w:val="42"/>
        <w:rPr>
          <w:rFonts w:hint="eastAsia" w:asciiTheme="minorEastAsia" w:hAnsiTheme="minorEastAsia" w:eastAsiaTheme="minorEastAsia"/>
          <w:b/>
          <w:color w:val="auto"/>
          <w:sz w:val="24"/>
          <w:highlight w:val="none"/>
        </w:rPr>
      </w:pPr>
    </w:p>
    <w:p w14:paraId="207A46ED">
      <w:pPr>
        <w:pStyle w:val="42"/>
        <w:rPr>
          <w:rFonts w:hint="eastAsia" w:asciiTheme="minorEastAsia" w:hAnsiTheme="minorEastAsia" w:eastAsiaTheme="minorEastAsia"/>
          <w:b/>
          <w:color w:val="auto"/>
          <w:sz w:val="24"/>
          <w:highlight w:val="none"/>
        </w:rPr>
      </w:pPr>
    </w:p>
    <w:p w14:paraId="5C12E7B8">
      <w:pPr>
        <w:pStyle w:val="42"/>
        <w:rPr>
          <w:rFonts w:hint="eastAsia" w:asciiTheme="minorEastAsia" w:hAnsiTheme="minorEastAsia" w:eastAsiaTheme="minorEastAsia"/>
          <w:b/>
          <w:color w:val="auto"/>
          <w:sz w:val="24"/>
          <w:highlight w:val="none"/>
        </w:rPr>
      </w:pPr>
    </w:p>
    <w:p w14:paraId="0A148189">
      <w:pPr>
        <w:pStyle w:val="42"/>
        <w:rPr>
          <w:rFonts w:hint="eastAsia" w:asciiTheme="minorEastAsia" w:hAnsiTheme="minorEastAsia" w:eastAsiaTheme="minorEastAsia"/>
          <w:b/>
          <w:color w:val="auto"/>
          <w:sz w:val="24"/>
          <w:highlight w:val="none"/>
        </w:rPr>
      </w:pPr>
    </w:p>
    <w:p w14:paraId="090AFF4F">
      <w:pPr>
        <w:pStyle w:val="42"/>
        <w:rPr>
          <w:rFonts w:hint="eastAsia" w:asciiTheme="minorEastAsia" w:hAnsiTheme="minorEastAsia" w:eastAsiaTheme="minorEastAsia"/>
          <w:b/>
          <w:color w:val="auto"/>
          <w:sz w:val="24"/>
          <w:highlight w:val="none"/>
        </w:rPr>
      </w:pPr>
    </w:p>
    <w:p w14:paraId="1A354231">
      <w:pPr>
        <w:pStyle w:val="42"/>
        <w:rPr>
          <w:rFonts w:hint="eastAsia" w:asciiTheme="minorEastAsia" w:hAnsiTheme="minorEastAsia" w:eastAsiaTheme="minorEastAsia"/>
          <w:b/>
          <w:color w:val="auto"/>
          <w:sz w:val="24"/>
          <w:highlight w:val="none"/>
        </w:rPr>
      </w:pPr>
    </w:p>
    <w:p w14:paraId="6B89B6EB">
      <w:pPr>
        <w:spacing w:line="360" w:lineRule="auto"/>
        <w:jc w:val="center"/>
        <w:outlineLvl w:val="1"/>
        <w:rPr>
          <w:rFonts w:hint="eastAsia" w:asciiTheme="minorEastAsia" w:hAnsiTheme="minorEastAsia" w:eastAsiaTheme="minorEastAsia"/>
          <w:b/>
          <w:color w:val="auto"/>
          <w:sz w:val="24"/>
          <w:highlight w:val="none"/>
        </w:rPr>
      </w:pPr>
      <w:bookmarkStart w:id="89" w:name="_Toc13783"/>
      <w:r>
        <w:rPr>
          <w:rFonts w:hint="eastAsia" w:asciiTheme="minorEastAsia" w:hAnsiTheme="minorEastAsia" w:eastAsiaTheme="minorEastAsia"/>
          <w:b/>
          <w:color w:val="auto"/>
          <w:sz w:val="24"/>
          <w:highlight w:val="none"/>
        </w:rPr>
        <w:t>一、投标人资格声明书</w:t>
      </w:r>
      <w:bookmarkEnd w:id="89"/>
      <w:r>
        <w:rPr>
          <w:rFonts w:hint="eastAsia" w:asciiTheme="minorEastAsia" w:hAnsiTheme="minorEastAsia" w:eastAsiaTheme="minorEastAsia"/>
          <w:b/>
          <w:color w:val="auto"/>
          <w:sz w:val="24"/>
          <w:highlight w:val="none"/>
        </w:rPr>
        <w:t xml:space="preserve"> </w:t>
      </w:r>
    </w:p>
    <w:p w14:paraId="1D3B4325">
      <w:pPr>
        <w:pStyle w:val="22"/>
        <w:spacing w:before="0" w:beforeAutospacing="0" w:after="0" w:afterAutospacing="0" w:line="360" w:lineRule="auto"/>
        <w:ind w:firstLine="482"/>
        <w:jc w:val="both"/>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lang w:bidi="ar"/>
        </w:rPr>
        <w:t>致：</w:t>
      </w:r>
      <w:r>
        <w:rPr>
          <w:rFonts w:hint="eastAsia" w:ascii="宋体" w:hAnsi="宋体" w:eastAsia="宋体" w:cs="宋体"/>
          <w:b/>
          <w:color w:val="auto"/>
          <w:kern w:val="2"/>
          <w:szCs w:val="24"/>
          <w:highlight w:val="none"/>
          <w:u w:val="single"/>
          <w:lang w:bidi="ar"/>
        </w:rPr>
        <w:t>采购人</w:t>
      </w:r>
    </w:p>
    <w:p w14:paraId="058B99F8">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在参与本次项目投标中，我单位承诺：</w:t>
      </w:r>
    </w:p>
    <w:p w14:paraId="579E630F">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724B177B">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5D0AC24">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7168AEA0">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8003040">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1A47F878">
      <w:pPr>
        <w:widowControl/>
        <w:autoSpaceDE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AF9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5613D8AD">
            <w:pPr>
              <w:widowControl/>
              <w:autoSpaceDE w:val="0"/>
              <w:spacing w:before="156" w:beforeLines="50" w:after="1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序号</w:t>
            </w:r>
          </w:p>
        </w:tc>
        <w:tc>
          <w:tcPr>
            <w:tcW w:w="2841" w:type="dxa"/>
            <w:tcBorders>
              <w:top w:val="single" w:color="auto" w:sz="4" w:space="0"/>
              <w:left w:val="nil"/>
              <w:bottom w:val="single" w:color="auto" w:sz="4" w:space="0"/>
              <w:right w:val="single" w:color="auto" w:sz="4" w:space="0"/>
            </w:tcBorders>
            <w:shd w:val="clear" w:color="auto" w:fill="auto"/>
          </w:tcPr>
          <w:p w14:paraId="526C50D2">
            <w:pPr>
              <w:pStyle w:val="22"/>
              <w:autoSpaceDE w:val="0"/>
              <w:spacing w:before="156" w:beforeLines="50" w:beforeAutospacing="0" w:after="10" w:afterAutospacing="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单位名称</w:t>
            </w:r>
          </w:p>
        </w:tc>
        <w:tc>
          <w:tcPr>
            <w:tcW w:w="2841" w:type="dxa"/>
            <w:tcBorders>
              <w:top w:val="single" w:color="auto" w:sz="4" w:space="0"/>
              <w:left w:val="nil"/>
              <w:bottom w:val="single" w:color="auto" w:sz="4" w:space="0"/>
              <w:right w:val="single" w:color="auto" w:sz="4" w:space="0"/>
            </w:tcBorders>
            <w:shd w:val="clear" w:color="auto" w:fill="auto"/>
          </w:tcPr>
          <w:p w14:paraId="20655851">
            <w:pPr>
              <w:pStyle w:val="22"/>
              <w:autoSpaceDE w:val="0"/>
              <w:spacing w:before="156" w:beforeLines="50" w:beforeAutospacing="0" w:after="10" w:afterAutospacing="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相互关系</w:t>
            </w:r>
          </w:p>
        </w:tc>
      </w:tr>
      <w:tr w14:paraId="32EE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C77C61C">
            <w:pPr>
              <w:pStyle w:val="22"/>
              <w:autoSpaceDE w:val="0"/>
              <w:spacing w:before="156" w:beforeLines="50" w:beforeAutospacing="0" w:after="10" w:afterAutospacing="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w:t>
            </w:r>
          </w:p>
        </w:tc>
        <w:tc>
          <w:tcPr>
            <w:tcW w:w="2841" w:type="dxa"/>
            <w:tcBorders>
              <w:top w:val="single" w:color="auto" w:sz="4" w:space="0"/>
              <w:left w:val="nil"/>
              <w:bottom w:val="single" w:color="auto" w:sz="4" w:space="0"/>
              <w:right w:val="single" w:color="auto" w:sz="4" w:space="0"/>
            </w:tcBorders>
            <w:shd w:val="clear" w:color="auto" w:fill="auto"/>
          </w:tcPr>
          <w:p w14:paraId="69F7E3D4">
            <w:pPr>
              <w:pStyle w:val="22"/>
              <w:autoSpaceDE w:val="0"/>
              <w:spacing w:before="156" w:beforeLines="50" w:beforeAutospacing="0" w:after="10" w:afterAutospacing="0"/>
              <w:jc w:val="center"/>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65EC3D0A">
            <w:pPr>
              <w:pStyle w:val="22"/>
              <w:autoSpaceDE w:val="0"/>
              <w:spacing w:before="156" w:beforeLines="50" w:beforeAutospacing="0" w:after="10" w:afterAutospacing="0"/>
              <w:jc w:val="center"/>
              <w:rPr>
                <w:rFonts w:hint="eastAsia" w:ascii="宋体" w:hAnsi="宋体" w:eastAsia="宋体" w:cs="宋体"/>
                <w:color w:val="auto"/>
                <w:szCs w:val="24"/>
                <w:highlight w:val="none"/>
              </w:rPr>
            </w:pPr>
          </w:p>
        </w:tc>
      </w:tr>
      <w:tr w14:paraId="77BD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793B9A5">
            <w:pPr>
              <w:pStyle w:val="22"/>
              <w:autoSpaceDE w:val="0"/>
              <w:spacing w:before="156" w:beforeLines="50" w:beforeAutospacing="0" w:after="10" w:afterAutospacing="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w:t>
            </w:r>
          </w:p>
        </w:tc>
        <w:tc>
          <w:tcPr>
            <w:tcW w:w="2841" w:type="dxa"/>
            <w:tcBorders>
              <w:top w:val="single" w:color="auto" w:sz="4" w:space="0"/>
              <w:left w:val="nil"/>
              <w:bottom w:val="single" w:color="auto" w:sz="4" w:space="0"/>
              <w:right w:val="single" w:color="auto" w:sz="4" w:space="0"/>
            </w:tcBorders>
            <w:shd w:val="clear" w:color="auto" w:fill="auto"/>
          </w:tcPr>
          <w:p w14:paraId="49459AED">
            <w:pPr>
              <w:pStyle w:val="22"/>
              <w:autoSpaceDE w:val="0"/>
              <w:spacing w:before="156" w:beforeLines="50" w:beforeAutospacing="0" w:after="10" w:afterAutospacing="0"/>
              <w:jc w:val="center"/>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0E55417B">
            <w:pPr>
              <w:pStyle w:val="22"/>
              <w:autoSpaceDE w:val="0"/>
              <w:spacing w:before="156" w:beforeLines="50" w:beforeAutospacing="0" w:after="10" w:afterAutospacing="0"/>
              <w:jc w:val="center"/>
              <w:rPr>
                <w:rFonts w:hint="eastAsia" w:ascii="宋体" w:hAnsi="宋体" w:eastAsia="宋体" w:cs="宋体"/>
                <w:color w:val="auto"/>
                <w:szCs w:val="24"/>
                <w:highlight w:val="none"/>
              </w:rPr>
            </w:pPr>
          </w:p>
        </w:tc>
      </w:tr>
    </w:tbl>
    <w:p w14:paraId="43CEAB6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本单位对上述声明的真实性负责。如有虚假，将依法承担相应责任。</w:t>
      </w:r>
    </w:p>
    <w:p w14:paraId="6A92D427">
      <w:pPr>
        <w:spacing w:line="360" w:lineRule="auto"/>
        <w:ind w:firstLine="4800" w:firstLineChars="2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投标人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（盖 章）</w:t>
      </w:r>
      <w:r>
        <w:rPr>
          <w:rFonts w:hint="eastAsia" w:ascii="宋体" w:hAnsi="宋体" w:eastAsia="宋体" w:cs="宋体"/>
          <w:color w:val="auto"/>
          <w:sz w:val="24"/>
          <w:szCs w:val="24"/>
          <w:highlight w:val="none"/>
          <w:u w:val="single"/>
          <w:lang w:bidi="ar"/>
        </w:rPr>
        <w:t xml:space="preserve">          </w:t>
      </w:r>
    </w:p>
    <w:p w14:paraId="1DE1C36C">
      <w:pPr>
        <w:spacing w:line="360" w:lineRule="auto"/>
        <w:ind w:firstLine="4800" w:firstLineChars="2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日   期：</w:t>
      </w:r>
      <w:r>
        <w:rPr>
          <w:rFonts w:hint="eastAsia" w:ascii="宋体" w:hAnsi="宋体" w:eastAsia="宋体" w:cs="宋体"/>
          <w:color w:val="auto"/>
          <w:sz w:val="24"/>
          <w:szCs w:val="24"/>
          <w:highlight w:val="none"/>
          <w:u w:val="single"/>
          <w:lang w:bidi="ar"/>
        </w:rPr>
        <w:t xml:space="preserve">                    </w:t>
      </w:r>
    </w:p>
    <w:p w14:paraId="7912C53F">
      <w:pPr>
        <w:pStyle w:val="22"/>
        <w:spacing w:before="0" w:after="120" w:afterAutospacing="0"/>
        <w:ind w:firstLine="482"/>
        <w:jc w:val="center"/>
        <w:rPr>
          <w:rFonts w:hint="eastAsia"/>
          <w:b/>
          <w:color w:val="auto"/>
          <w:highlight w:val="none"/>
          <w:lang w:bidi="ar"/>
        </w:rPr>
      </w:pPr>
    </w:p>
    <w:p w14:paraId="6025F8DF">
      <w:pPr>
        <w:pStyle w:val="22"/>
        <w:spacing w:before="0" w:after="120" w:afterAutospacing="0"/>
        <w:ind w:firstLine="482"/>
        <w:jc w:val="center"/>
        <w:rPr>
          <w:rFonts w:hint="eastAsia"/>
          <w:b/>
          <w:color w:val="auto"/>
          <w:highlight w:val="none"/>
          <w:lang w:bidi="ar"/>
        </w:rPr>
      </w:pPr>
    </w:p>
    <w:p w14:paraId="2BC96DF0">
      <w:pPr>
        <w:pStyle w:val="22"/>
        <w:spacing w:before="0" w:after="120" w:afterAutospacing="0"/>
        <w:ind w:firstLine="482"/>
        <w:jc w:val="center"/>
        <w:rPr>
          <w:rFonts w:hint="eastAsia"/>
          <w:b/>
          <w:color w:val="auto"/>
          <w:highlight w:val="none"/>
          <w:lang w:bidi="ar"/>
        </w:rPr>
      </w:pPr>
    </w:p>
    <w:p w14:paraId="698B4B61">
      <w:pPr>
        <w:pStyle w:val="22"/>
        <w:spacing w:before="0" w:after="120" w:afterAutospacing="0"/>
        <w:ind w:firstLine="482"/>
        <w:jc w:val="center"/>
        <w:rPr>
          <w:rFonts w:hint="eastAsia"/>
          <w:b/>
          <w:color w:val="auto"/>
          <w:highlight w:val="none"/>
          <w:lang w:bidi="ar"/>
        </w:rPr>
      </w:pPr>
    </w:p>
    <w:p w14:paraId="6EAE62B7">
      <w:pPr>
        <w:pStyle w:val="22"/>
        <w:spacing w:before="0" w:after="120" w:afterAutospacing="0"/>
        <w:ind w:firstLine="482"/>
        <w:jc w:val="center"/>
        <w:rPr>
          <w:rFonts w:hint="eastAsia" w:ascii="宋体" w:hAnsi="宋体" w:eastAsia="宋体" w:cs="宋体"/>
          <w:b/>
          <w:color w:val="auto"/>
          <w:szCs w:val="24"/>
          <w:highlight w:val="none"/>
          <w:lang w:bidi="ar"/>
        </w:rPr>
      </w:pPr>
    </w:p>
    <w:p w14:paraId="7E232A55">
      <w:pPr>
        <w:pStyle w:val="22"/>
        <w:spacing w:before="0" w:after="120" w:afterAutospacing="0"/>
        <w:ind w:firstLine="482"/>
        <w:jc w:val="center"/>
        <w:rPr>
          <w:rFonts w:hint="eastAsia" w:ascii="宋体" w:hAnsi="宋体" w:eastAsia="宋体" w:cs="宋体"/>
          <w:b/>
          <w:color w:val="auto"/>
          <w:szCs w:val="24"/>
          <w:highlight w:val="none"/>
          <w:lang w:bidi="ar"/>
        </w:rPr>
      </w:pPr>
    </w:p>
    <w:p w14:paraId="4394A2CE">
      <w:pPr>
        <w:pStyle w:val="22"/>
        <w:spacing w:before="0" w:after="120" w:afterAutospacing="0"/>
        <w:ind w:firstLine="482"/>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lang w:bidi="ar"/>
        </w:rPr>
        <w:t>二、授权书</w:t>
      </w:r>
    </w:p>
    <w:p w14:paraId="3836997F">
      <w:pPr>
        <w:pStyle w:val="22"/>
        <w:spacing w:before="0" w:beforeAutospacing="0" w:after="0" w:afterAutospacing="0" w:line="360" w:lineRule="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p w14:paraId="21AB5CC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本授权书声明：</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（投标人名称）授权</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（投标人授权代表姓名）代表我方参加本项目</w:t>
      </w:r>
      <w:r>
        <w:rPr>
          <w:rFonts w:hint="eastAsia" w:ascii="宋体" w:hAnsi="宋体" w:eastAsia="宋体" w:cs="宋体"/>
          <w:bCs/>
          <w:color w:val="auto"/>
          <w:sz w:val="24"/>
          <w:szCs w:val="24"/>
          <w:highlight w:val="none"/>
          <w:lang w:bidi="ar"/>
        </w:rPr>
        <w:t>采购活动</w:t>
      </w:r>
      <w:r>
        <w:rPr>
          <w:rFonts w:hint="eastAsia" w:ascii="宋体" w:hAnsi="宋体" w:eastAsia="宋体" w:cs="宋体"/>
          <w:color w:val="auto"/>
          <w:sz w:val="24"/>
          <w:szCs w:val="24"/>
          <w:highlight w:val="none"/>
          <w:lang w:bidi="ar"/>
        </w:rPr>
        <w:t>，全权代表我方处理投标过程的一切事宜，包括但不限于：提交投标文件、参与投标、谈判、签约等。投标人授权代表在投标过程中所签署的一切文件和处理与之有关的一切事务，我方均予以认可并对此承担责任。投标人授权代表无转委托权。特此授权。</w:t>
      </w:r>
    </w:p>
    <w:p w14:paraId="461213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本授权书自出具之日起生效。</w:t>
      </w:r>
    </w:p>
    <w:p w14:paraId="3E8CC36E">
      <w:pPr>
        <w:spacing w:line="360" w:lineRule="auto"/>
        <w:ind w:firstLine="482"/>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授权代表身份证明复印件：</w:t>
      </w:r>
    </w:p>
    <w:p w14:paraId="39323784">
      <w:pPr>
        <w:spacing w:line="360" w:lineRule="auto"/>
        <w:ind w:firstLine="482"/>
        <w:rPr>
          <w:rFonts w:hint="eastAsia" w:ascii="宋体" w:hAnsi="宋体" w:eastAsia="宋体" w:cs="宋体"/>
          <w:b/>
          <w:bCs/>
          <w:color w:val="auto"/>
          <w:sz w:val="24"/>
          <w:szCs w:val="24"/>
          <w:highlight w:val="none"/>
          <w:lang w:eastAsia="zh-CN" w:bidi="ar"/>
        </w:rPr>
      </w:pPr>
      <w:r>
        <w:rPr>
          <w:rFonts w:hint="eastAsia" w:ascii="宋体" w:hAnsi="宋体" w:eastAsia="宋体" w:cs="宋体"/>
          <w:b/>
          <w:bCs/>
          <w:color w:val="auto"/>
          <w:sz w:val="24"/>
          <w:szCs w:val="24"/>
          <w:highlight w:val="none"/>
          <w:lang w:bidi="ar"/>
        </w:rPr>
        <w:t xml:space="preserve"> 法定代表人身份证明复印件</w:t>
      </w:r>
      <w:r>
        <w:rPr>
          <w:rFonts w:hint="eastAsia" w:ascii="宋体" w:hAnsi="宋体" w:eastAsia="宋体" w:cs="宋体"/>
          <w:b/>
          <w:bCs/>
          <w:color w:val="auto"/>
          <w:sz w:val="24"/>
          <w:szCs w:val="24"/>
          <w:highlight w:val="none"/>
          <w:lang w:eastAsia="zh-CN" w:bidi="ar"/>
        </w:rPr>
        <w:t>：</w:t>
      </w:r>
    </w:p>
    <w:p w14:paraId="568893A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095393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07C0109A">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授权代表联系方式：</w:t>
      </w:r>
      <w:r>
        <w:rPr>
          <w:rFonts w:hint="eastAsia" w:ascii="宋体" w:hAnsi="宋体" w:eastAsia="宋体" w:cs="宋体"/>
          <w:color w:val="auto"/>
          <w:sz w:val="24"/>
          <w:szCs w:val="24"/>
          <w:highlight w:val="none"/>
          <w:u w:val="single"/>
          <w:lang w:bidi="ar"/>
        </w:rPr>
        <w:t xml:space="preserve">          （请填写手机号码）</w:t>
      </w:r>
    </w:p>
    <w:p w14:paraId="6E49AAD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1B2B5A6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特此声明。</w:t>
      </w:r>
    </w:p>
    <w:p w14:paraId="69384E6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025951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投标人</w:t>
      </w:r>
      <w:r>
        <w:rPr>
          <w:rFonts w:hint="eastAsia" w:asciiTheme="minorEastAsia" w:hAnsiTheme="minorEastAsia" w:eastAsiaTheme="minorEastAsia"/>
          <w:bCs/>
          <w:color w:val="auto"/>
          <w:sz w:val="24"/>
          <w:highlight w:val="none"/>
        </w:rPr>
        <w:t>盖章</w:t>
      </w: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u w:val="single"/>
          <w:lang w:bidi="ar"/>
        </w:rPr>
        <w:t xml:space="preserve">                  </w:t>
      </w:r>
    </w:p>
    <w:p w14:paraId="2CD5B055">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 xml:space="preserve">                </w:t>
      </w:r>
    </w:p>
    <w:p w14:paraId="1CDA74F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日  期：</w:t>
      </w:r>
      <w:r>
        <w:rPr>
          <w:rFonts w:hint="eastAsia" w:ascii="宋体" w:hAnsi="宋体" w:eastAsia="宋体" w:cs="宋体"/>
          <w:b/>
          <w:bCs/>
          <w:color w:val="auto"/>
          <w:sz w:val="24"/>
          <w:szCs w:val="24"/>
          <w:highlight w:val="none"/>
          <w:u w:val="single"/>
          <w:lang w:bidi="ar"/>
        </w:rPr>
        <w:t xml:space="preserve">                         </w:t>
      </w:r>
    </w:p>
    <w:p w14:paraId="03C5D12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F623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BB35D2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注：</w:t>
      </w:r>
    </w:p>
    <w:p w14:paraId="6B08F0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1.本项目只允许有唯一的投标人授权代表，提供身份证明复印件；</w:t>
      </w:r>
    </w:p>
    <w:p w14:paraId="3601CBAF">
      <w:pPr>
        <w:spacing w:line="360" w:lineRule="auto"/>
        <w:jc w:val="center"/>
        <w:outlineLvl w:val="1"/>
        <w:rPr>
          <w:rFonts w:hint="eastAsia" w:asciiTheme="minorEastAsia" w:hAnsiTheme="minorEastAsia" w:eastAsiaTheme="minorEastAsia"/>
          <w:b/>
          <w:color w:val="auto"/>
          <w:sz w:val="24"/>
          <w:highlight w:val="none"/>
        </w:rPr>
      </w:pPr>
      <w:r>
        <w:rPr>
          <w:rFonts w:hint="eastAsia"/>
          <w:color w:val="auto"/>
          <w:highlight w:val="none"/>
          <w:lang w:bidi="ar"/>
        </w:rPr>
        <w:br w:type="page"/>
      </w:r>
    </w:p>
    <w:p w14:paraId="7DEFCB97">
      <w:pPr>
        <w:spacing w:line="360" w:lineRule="auto"/>
        <w:jc w:val="center"/>
        <w:outlineLvl w:val="1"/>
        <w:rPr>
          <w:rFonts w:hint="eastAsia" w:asciiTheme="minorEastAsia" w:hAnsiTheme="minorEastAsia" w:eastAsiaTheme="minorEastAsia"/>
          <w:b/>
          <w:color w:val="auto"/>
          <w:sz w:val="24"/>
          <w:highlight w:val="none"/>
        </w:rPr>
      </w:pPr>
    </w:p>
    <w:p w14:paraId="736269F2">
      <w:pPr>
        <w:spacing w:line="360" w:lineRule="auto"/>
        <w:jc w:val="center"/>
        <w:outlineLvl w:val="1"/>
        <w:rPr>
          <w:rFonts w:hint="eastAsia" w:asciiTheme="minorEastAsia" w:hAnsiTheme="minorEastAsia" w:eastAsiaTheme="minorEastAsia"/>
          <w:b/>
          <w:color w:val="auto"/>
          <w:sz w:val="24"/>
          <w:highlight w:val="none"/>
        </w:rPr>
      </w:pPr>
      <w:bookmarkStart w:id="90" w:name="_Toc8017"/>
      <w:r>
        <w:rPr>
          <w:rFonts w:hint="eastAsia" w:asciiTheme="minorEastAsia" w:hAnsiTheme="minorEastAsia" w:eastAsiaTheme="minorEastAsia"/>
          <w:b/>
          <w:color w:val="auto"/>
          <w:sz w:val="24"/>
          <w:highlight w:val="none"/>
        </w:rPr>
        <w:t>三、开标一览表</w:t>
      </w:r>
      <w:bookmarkEnd w:id="90"/>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7424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21876021">
            <w:pPr>
              <w:widowControl/>
              <w:spacing w:line="360" w:lineRule="exact"/>
              <w:jc w:val="cente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17F852A">
            <w:pPr>
              <w:spacing w:line="360" w:lineRule="exact"/>
              <w:jc w:val="center"/>
              <w:rPr>
                <w:rFonts w:hint="eastAsia" w:asciiTheme="minorEastAsia" w:hAnsiTheme="minorEastAsia" w:eastAsiaTheme="minorEastAsia"/>
                <w:bCs/>
                <w:color w:val="auto"/>
                <w:sz w:val="24"/>
                <w:highlight w:val="none"/>
                <w:u w:val="single"/>
              </w:rPr>
            </w:pPr>
          </w:p>
        </w:tc>
      </w:tr>
      <w:tr w14:paraId="0002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352" w:type="pct"/>
            <w:tcBorders>
              <w:top w:val="nil"/>
            </w:tcBorders>
            <w:vAlign w:val="center"/>
          </w:tcPr>
          <w:p w14:paraId="362C8ABF">
            <w:pPr>
              <w:spacing w:line="360" w:lineRule="exact"/>
              <w:jc w:val="cente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65D38E30">
            <w:pPr>
              <w:spacing w:line="360" w:lineRule="auto"/>
              <w:rPr>
                <w:rFonts w:hint="eastAsia" w:asciiTheme="minorEastAsia" w:hAnsiTheme="minorEastAsia" w:eastAsiaTheme="minorEastAsia"/>
                <w:color w:val="auto"/>
                <w:sz w:val="24"/>
                <w:highlight w:val="none"/>
              </w:rPr>
            </w:pPr>
          </w:p>
        </w:tc>
      </w:tr>
      <w:tr w14:paraId="5878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1352" w:type="pct"/>
            <w:tcBorders>
              <w:top w:val="nil"/>
            </w:tcBorders>
            <w:vAlign w:val="center"/>
          </w:tcPr>
          <w:p w14:paraId="00FD4671">
            <w:pPr>
              <w:spacing w:line="360" w:lineRule="exact"/>
              <w:jc w:val="cente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0F841075">
            <w:pPr>
              <w:widowControl/>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全部</w:t>
            </w:r>
          </w:p>
        </w:tc>
      </w:tr>
      <w:tr w14:paraId="4B92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1352" w:type="pct"/>
            <w:tcBorders>
              <w:top w:val="nil"/>
            </w:tcBorders>
            <w:vAlign w:val="center"/>
          </w:tcPr>
          <w:p w14:paraId="103E8799">
            <w:pPr>
              <w:spacing w:line="360" w:lineRule="exact"/>
              <w:jc w:val="cente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49E4B43A">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5E2DF06">
            <w:pPr>
              <w:spacing w:line="360" w:lineRule="auto"/>
              <w:ind w:right="-670"/>
              <w:rPr>
                <w:rFonts w:hint="eastAsia" w:eastAsia="宋体" w:asciiTheme="minorEastAsia" w:hAnsi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w:t>
            </w:r>
          </w:p>
        </w:tc>
      </w:tr>
      <w:tr w14:paraId="4926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59EB75FE">
            <w:pPr>
              <w:spacing w:line="360" w:lineRule="auto"/>
              <w:jc w:val="cente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391A832A">
            <w:pPr>
              <w:spacing w:line="360" w:lineRule="auto"/>
              <w:jc w:val="left"/>
              <w:rPr>
                <w:rFonts w:hint="eastAsia" w:asciiTheme="minorEastAsia" w:hAnsiTheme="minorEastAsia" w:eastAsiaTheme="minorEastAsia"/>
                <w:color w:val="auto"/>
                <w:sz w:val="24"/>
                <w:szCs w:val="28"/>
                <w:highlight w:val="none"/>
              </w:rPr>
            </w:pPr>
          </w:p>
        </w:tc>
      </w:tr>
    </w:tbl>
    <w:p w14:paraId="6E94D68B">
      <w:pPr>
        <w:spacing w:line="360" w:lineRule="auto"/>
        <w:ind w:firstLine="4320" w:firstLineChars="1800"/>
        <w:jc w:val="center"/>
        <w:rPr>
          <w:rFonts w:hint="eastAsia" w:asciiTheme="minorEastAsia" w:hAnsiTheme="minorEastAsia" w:eastAsiaTheme="minorEastAsia"/>
          <w:bCs/>
          <w:color w:val="auto"/>
          <w:sz w:val="24"/>
          <w:highlight w:val="none"/>
        </w:rPr>
      </w:pPr>
    </w:p>
    <w:p w14:paraId="5EF78C41">
      <w:pPr>
        <w:spacing w:line="360" w:lineRule="auto"/>
        <w:ind w:firstLine="4320" w:firstLineChars="1800"/>
        <w:jc w:val="center"/>
        <w:rPr>
          <w:rFonts w:hint="eastAsia"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投标人盖章：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9CC79E5">
      <w:pPr>
        <w:spacing w:line="360" w:lineRule="auto"/>
        <w:ind w:firstLine="4320" w:firstLineChars="1800"/>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46D2FB2">
      <w:pPr>
        <w:spacing w:line="360" w:lineRule="auto"/>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3BCB698D">
      <w:pPr>
        <w:spacing w:line="360" w:lineRule="auto"/>
        <w:ind w:firstLine="360" w:firstLineChars="150"/>
        <w:rPr>
          <w:rFonts w:hint="eastAsia" w:asciiTheme="minorEastAsia" w:hAnsiTheme="minorEastAsia" w:eastAsiaTheme="minorEastAsia"/>
          <w:color w:val="auto"/>
          <w:sz w:val="24"/>
          <w:highlight w:val="none"/>
        </w:rPr>
      </w:pPr>
    </w:p>
    <w:p w14:paraId="059D0E4F">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753A9622">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639E8159">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任何有选择或有条件的投标报价，或者表中某一包别填写多个报价，均为无效报价。</w:t>
      </w:r>
    </w:p>
    <w:p w14:paraId="52D51BD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549A894F">
      <w:pPr>
        <w:spacing w:line="360" w:lineRule="auto"/>
        <w:jc w:val="center"/>
        <w:outlineLvl w:val="1"/>
        <w:rPr>
          <w:rFonts w:hint="eastAsia" w:asciiTheme="minorEastAsia" w:hAnsiTheme="minorEastAsia" w:eastAsiaTheme="minorEastAsia"/>
          <w:b/>
          <w:color w:val="auto"/>
          <w:sz w:val="24"/>
          <w:highlight w:val="none"/>
        </w:rPr>
      </w:pPr>
      <w:bookmarkStart w:id="91" w:name="_Toc10692"/>
      <w:r>
        <w:rPr>
          <w:rFonts w:hint="eastAsia" w:asciiTheme="minorEastAsia" w:hAnsiTheme="minorEastAsia" w:eastAsiaTheme="minorEastAsia"/>
          <w:b/>
          <w:color w:val="auto"/>
          <w:sz w:val="24"/>
          <w:highlight w:val="none"/>
        </w:rPr>
        <w:t>四、投标函</w:t>
      </w:r>
      <w:bookmarkEnd w:id="91"/>
    </w:p>
    <w:p w14:paraId="479272FE">
      <w:pPr>
        <w:pStyle w:val="14"/>
        <w:spacing w:line="360" w:lineRule="auto"/>
        <w:rPr>
          <w:rFonts w:hint="eastAsia"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5852453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735A7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1078B0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01142FD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E7B3A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58911D78">
      <w:pPr>
        <w:spacing w:line="360" w:lineRule="auto"/>
        <w:ind w:firstLine="4800" w:firstLineChars="2000"/>
        <w:rPr>
          <w:rFonts w:hint="eastAsia" w:ascii="宋体" w:hAnsi="宋体" w:eastAsia="宋体"/>
          <w:color w:val="auto"/>
          <w:sz w:val="24"/>
          <w:highlight w:val="none"/>
        </w:rPr>
      </w:pPr>
    </w:p>
    <w:p w14:paraId="52247BF4">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投标人盖章：</w:t>
      </w:r>
      <w:r>
        <w:rPr>
          <w:rFonts w:hint="eastAsia" w:ascii="宋体" w:hAnsi="宋体" w:eastAsia="宋体"/>
          <w:color w:val="auto"/>
          <w:sz w:val="24"/>
          <w:highlight w:val="none"/>
          <w:u w:val="single"/>
        </w:rPr>
        <w:t xml:space="preserve">             </w:t>
      </w:r>
    </w:p>
    <w:p w14:paraId="5CB4270A">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64A9DF4">
      <w:pPr>
        <w:widowControl/>
        <w:jc w:val="left"/>
        <w:rPr>
          <w:rFonts w:hint="eastAsia" w:ascii="宋体" w:hAnsi="宋体" w:eastAsia="宋体"/>
          <w:color w:val="auto"/>
          <w:sz w:val="24"/>
          <w:highlight w:val="none"/>
          <w:u w:val="single"/>
        </w:rPr>
      </w:pPr>
      <w:r>
        <w:rPr>
          <w:rFonts w:ascii="宋体" w:hAnsi="宋体" w:eastAsia="宋体"/>
          <w:color w:val="auto"/>
          <w:sz w:val="24"/>
          <w:highlight w:val="none"/>
          <w:u w:val="single"/>
        </w:rPr>
        <w:br w:type="page"/>
      </w:r>
    </w:p>
    <w:p w14:paraId="72EF87B3">
      <w:pPr>
        <w:widowControl/>
        <w:jc w:val="left"/>
        <w:rPr>
          <w:rFonts w:hint="eastAsia" w:ascii="宋体" w:hAnsi="宋体" w:eastAsia="宋体"/>
          <w:color w:val="auto"/>
          <w:sz w:val="24"/>
          <w:highlight w:val="none"/>
          <w:u w:val="single"/>
        </w:rPr>
      </w:pPr>
    </w:p>
    <w:p w14:paraId="6A35DEFA">
      <w:pPr>
        <w:numPr>
          <w:ilvl w:val="0"/>
          <w:numId w:val="8"/>
        </w:numPr>
        <w:spacing w:line="360" w:lineRule="auto"/>
        <w:jc w:val="center"/>
        <w:rPr>
          <w:rFonts w:hint="eastAsia" w:ascii="宋体" w:hAnsi="宋体" w:eastAsia="宋体" w:cs="宋体"/>
          <w:b/>
          <w:color w:val="auto"/>
          <w:sz w:val="24"/>
          <w:szCs w:val="24"/>
          <w:highlight w:val="none"/>
          <w:lang w:bidi="ar"/>
        </w:rPr>
      </w:pPr>
      <w:r>
        <w:rPr>
          <w:rFonts w:hint="eastAsia" w:ascii="宋体" w:hAnsi="宋体" w:eastAsia="宋体" w:cs="宋体"/>
          <w:b/>
          <w:color w:val="auto"/>
          <w:sz w:val="24"/>
          <w:szCs w:val="24"/>
          <w:highlight w:val="none"/>
          <w:lang w:bidi="ar"/>
        </w:rPr>
        <w:t>投标报价表</w:t>
      </w:r>
    </w:p>
    <w:p w14:paraId="0438AFA0">
      <w:pPr>
        <w:pStyle w:val="42"/>
        <w:widowControl w:val="0"/>
        <w:numPr>
          <w:ilvl w:val="0"/>
          <w:numId w:val="0"/>
        </w:numPr>
        <w:jc w:val="both"/>
        <w:rPr>
          <w:rFonts w:hint="eastAsia"/>
          <w:color w:val="auto"/>
          <w:highlight w:val="none"/>
        </w:rPr>
      </w:pPr>
    </w:p>
    <w:tbl>
      <w:tblPr>
        <w:tblStyle w:val="27"/>
        <w:tblW w:w="5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1715"/>
        <w:gridCol w:w="1336"/>
        <w:gridCol w:w="1227"/>
        <w:gridCol w:w="552"/>
        <w:gridCol w:w="704"/>
        <w:gridCol w:w="1284"/>
        <w:gridCol w:w="929"/>
        <w:gridCol w:w="1800"/>
      </w:tblGrid>
      <w:tr w14:paraId="7F03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1" w:hRule="atLeast"/>
          <w:jc w:val="center"/>
        </w:trPr>
        <w:tc>
          <w:tcPr>
            <w:tcW w:w="255" w:type="pct"/>
            <w:tcBorders>
              <w:top w:val="single" w:color="auto" w:sz="4" w:space="0"/>
              <w:left w:val="single" w:color="auto" w:sz="4" w:space="0"/>
              <w:right w:val="single" w:color="auto" w:sz="4" w:space="0"/>
            </w:tcBorders>
            <w:shd w:val="clear" w:color="auto" w:fill="auto"/>
            <w:vAlign w:val="center"/>
          </w:tcPr>
          <w:p w14:paraId="4F33564C">
            <w:pPr>
              <w:pStyle w:val="22"/>
              <w:spacing w:before="0" w:beforeAutospacing="0" w:after="0" w:afterAutospacing="0"/>
              <w:jc w:val="center"/>
              <w:rPr>
                <w:rFonts w:hint="eastAsia" w:ascii="宋体" w:hAnsi="宋体" w:eastAsia="宋体" w:cs="@仿宋_GB2312"/>
                <w:b/>
                <w:color w:val="auto"/>
                <w:kern w:val="2"/>
                <w:szCs w:val="24"/>
                <w:highlight w:val="none"/>
              </w:rPr>
            </w:pPr>
            <w:r>
              <w:rPr>
                <w:rFonts w:hint="eastAsia" w:ascii="宋体" w:hAnsi="宋体" w:eastAsia="宋体" w:cs="宋体"/>
                <w:b/>
                <w:color w:val="auto"/>
                <w:kern w:val="2"/>
                <w:szCs w:val="24"/>
                <w:highlight w:val="none"/>
                <w:lang w:bidi="ar"/>
              </w:rPr>
              <w:t>序号</w:t>
            </w:r>
          </w:p>
        </w:tc>
        <w:tc>
          <w:tcPr>
            <w:tcW w:w="852" w:type="pct"/>
            <w:tcBorders>
              <w:top w:val="single" w:color="auto" w:sz="4" w:space="0"/>
              <w:left w:val="single" w:color="auto" w:sz="4" w:space="0"/>
              <w:right w:val="single" w:color="auto" w:sz="4" w:space="0"/>
            </w:tcBorders>
            <w:shd w:val="clear" w:color="auto" w:fill="auto"/>
            <w:vAlign w:val="center"/>
          </w:tcPr>
          <w:p w14:paraId="3DEFC199">
            <w:pPr>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货物名称</w:t>
            </w:r>
          </w:p>
        </w:tc>
        <w:tc>
          <w:tcPr>
            <w:tcW w:w="663" w:type="pct"/>
            <w:tcBorders>
              <w:top w:val="single" w:color="auto" w:sz="4" w:space="0"/>
              <w:left w:val="single" w:color="auto" w:sz="4" w:space="0"/>
              <w:right w:val="single" w:color="auto" w:sz="4" w:space="0"/>
            </w:tcBorders>
            <w:shd w:val="clear" w:color="auto" w:fill="auto"/>
            <w:vAlign w:val="center"/>
          </w:tcPr>
          <w:p w14:paraId="5A0FB1EF">
            <w:pPr>
              <w:jc w:val="center"/>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品牌、规格型号</w:t>
            </w:r>
          </w:p>
        </w:tc>
        <w:tc>
          <w:tcPr>
            <w:tcW w:w="609" w:type="pct"/>
            <w:tcBorders>
              <w:top w:val="single" w:color="auto" w:sz="4" w:space="0"/>
              <w:left w:val="single" w:color="auto" w:sz="4" w:space="0"/>
              <w:right w:val="single" w:color="auto" w:sz="4" w:space="0"/>
            </w:tcBorders>
            <w:shd w:val="clear" w:color="auto" w:fill="auto"/>
            <w:vAlign w:val="center"/>
          </w:tcPr>
          <w:p w14:paraId="589DB423">
            <w:pPr>
              <w:jc w:val="center"/>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原产地及生产厂家</w:t>
            </w:r>
          </w:p>
        </w:tc>
        <w:tc>
          <w:tcPr>
            <w:tcW w:w="274" w:type="pct"/>
            <w:tcBorders>
              <w:top w:val="single" w:color="auto" w:sz="4" w:space="0"/>
              <w:left w:val="single" w:color="auto" w:sz="4" w:space="0"/>
              <w:right w:val="single" w:color="auto" w:sz="4" w:space="0"/>
            </w:tcBorders>
            <w:shd w:val="clear" w:color="auto" w:fill="auto"/>
            <w:vAlign w:val="center"/>
          </w:tcPr>
          <w:p w14:paraId="348BCB03">
            <w:pPr>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单位</w:t>
            </w:r>
          </w:p>
        </w:tc>
        <w:tc>
          <w:tcPr>
            <w:tcW w:w="349" w:type="pct"/>
            <w:tcBorders>
              <w:top w:val="single" w:color="auto" w:sz="4" w:space="0"/>
              <w:left w:val="single" w:color="auto" w:sz="4" w:space="0"/>
              <w:right w:val="single" w:color="auto" w:sz="4" w:space="0"/>
            </w:tcBorders>
            <w:shd w:val="clear" w:color="auto" w:fill="auto"/>
            <w:vAlign w:val="center"/>
          </w:tcPr>
          <w:p w14:paraId="1AAEEE2A">
            <w:pPr>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数量</w:t>
            </w:r>
          </w:p>
        </w:tc>
        <w:tc>
          <w:tcPr>
            <w:tcW w:w="638" w:type="pct"/>
            <w:tcBorders>
              <w:top w:val="single" w:color="auto" w:sz="4" w:space="0"/>
              <w:left w:val="single" w:color="auto" w:sz="4" w:space="0"/>
              <w:right w:val="single" w:color="auto" w:sz="4" w:space="0"/>
            </w:tcBorders>
            <w:shd w:val="clear" w:color="auto" w:fill="auto"/>
            <w:vAlign w:val="center"/>
          </w:tcPr>
          <w:p w14:paraId="3B555EC7">
            <w:pPr>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综合单价</w:t>
            </w:r>
          </w:p>
          <w:p w14:paraId="3B8EEAA1">
            <w:pPr>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（元）</w:t>
            </w:r>
          </w:p>
        </w:tc>
        <w:tc>
          <w:tcPr>
            <w:tcW w:w="461" w:type="pct"/>
            <w:tcBorders>
              <w:top w:val="single" w:color="auto" w:sz="4" w:space="0"/>
              <w:left w:val="single" w:color="auto" w:sz="4" w:space="0"/>
              <w:right w:val="single" w:color="auto" w:sz="4" w:space="0"/>
            </w:tcBorders>
            <w:shd w:val="clear" w:color="auto" w:fill="auto"/>
            <w:vAlign w:val="center"/>
          </w:tcPr>
          <w:p w14:paraId="4118E303">
            <w:pPr>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小计</w:t>
            </w:r>
          </w:p>
          <w:p w14:paraId="4F4ED34C">
            <w:pPr>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（元）</w:t>
            </w: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08F73D47">
            <w:pPr>
              <w:jc w:val="center"/>
              <w:rPr>
                <w:rFonts w:hint="eastAsia" w:ascii="宋体" w:hAnsi="宋体" w:eastAsia="宋体" w:cs="宋体"/>
                <w:b/>
                <w:bCs/>
                <w:color w:val="auto"/>
                <w:sz w:val="24"/>
                <w:szCs w:val="24"/>
                <w:highlight w:val="none"/>
                <w:lang w:eastAsia="zh-CN" w:bidi="ar"/>
              </w:rPr>
            </w:pPr>
            <w:r>
              <w:rPr>
                <w:rFonts w:hint="eastAsia" w:ascii="宋体" w:hAnsi="宋体" w:eastAsia="宋体" w:cs="宋体"/>
                <w:b/>
                <w:color w:val="auto"/>
                <w:sz w:val="24"/>
                <w:szCs w:val="24"/>
                <w:highlight w:val="none"/>
                <w:lang w:bidi="ar"/>
              </w:rPr>
              <w:t>备注</w:t>
            </w:r>
          </w:p>
        </w:tc>
      </w:tr>
      <w:tr w14:paraId="7EBA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5" w:type="pct"/>
            <w:tcBorders>
              <w:top w:val="single" w:color="auto" w:sz="4" w:space="0"/>
              <w:left w:val="single" w:color="auto" w:sz="4" w:space="0"/>
              <w:right w:val="single" w:color="auto" w:sz="4" w:space="0"/>
            </w:tcBorders>
            <w:shd w:val="clear" w:color="auto" w:fill="auto"/>
            <w:vAlign w:val="center"/>
          </w:tcPr>
          <w:p w14:paraId="11D56387">
            <w:pPr>
              <w:rPr>
                <w:rFonts w:hint="eastAsia" w:ascii="仿宋" w:hAnsi="仿宋" w:eastAsia="仿宋" w:cs="仿宋"/>
                <w:b/>
                <w:color w:val="auto"/>
                <w:spacing w:val="10"/>
                <w:kern w:val="2"/>
                <w:sz w:val="24"/>
                <w:szCs w:val="24"/>
                <w:highlight w:val="none"/>
                <w:lang w:val="en-US" w:eastAsia="zh-CN" w:bidi="ar-SA"/>
              </w:rPr>
            </w:pPr>
            <w:r>
              <w:rPr>
                <w:rFonts w:hint="eastAsia" w:ascii="仿宋" w:hAnsi="仿宋" w:eastAsia="仿宋" w:cs="仿宋"/>
                <w:b/>
                <w:color w:val="auto"/>
                <w:spacing w:val="10"/>
                <w:sz w:val="24"/>
                <w:highlight w:val="none"/>
              </w:rPr>
              <w:t>1</w:t>
            </w:r>
          </w:p>
        </w:tc>
        <w:tc>
          <w:tcPr>
            <w:tcW w:w="852" w:type="pct"/>
            <w:tcBorders>
              <w:top w:val="single" w:color="auto" w:sz="4" w:space="0"/>
              <w:left w:val="single" w:color="auto" w:sz="4" w:space="0"/>
              <w:right w:val="single" w:color="auto" w:sz="4" w:space="0"/>
            </w:tcBorders>
            <w:shd w:val="clear" w:color="auto" w:fill="auto"/>
            <w:vAlign w:val="center"/>
          </w:tcPr>
          <w:p w14:paraId="5201B25E">
            <w:pPr>
              <w:spacing w:line="360" w:lineRule="exact"/>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临床思维训练系统</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79A6459D">
            <w:pPr>
              <w:spacing w:line="360" w:lineRule="exact"/>
              <w:rPr>
                <w:rFonts w:hint="eastAsia" w:ascii="宋体" w:hAnsi="宋体" w:eastAsia="宋体" w:cs="宋体"/>
                <w:color w:val="auto"/>
                <w:sz w:val="24"/>
                <w:szCs w:val="24"/>
                <w:highlight w:val="none"/>
                <w:lang w:val="en-US" w:eastAsia="zh-CN" w:bidi="ar"/>
              </w:rPr>
            </w:pP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14:paraId="2F8C6D6F">
            <w:pPr>
              <w:spacing w:line="360" w:lineRule="exact"/>
              <w:rPr>
                <w:rFonts w:hint="eastAsia" w:ascii="宋体" w:hAnsi="宋体" w:eastAsia="宋体" w:cs="宋体"/>
                <w:color w:val="auto"/>
                <w:sz w:val="24"/>
                <w:szCs w:val="24"/>
                <w:highlight w:val="none"/>
                <w:lang w:val="en-US" w:eastAsia="zh-CN" w:bidi="ar"/>
              </w:rPr>
            </w:pPr>
          </w:p>
        </w:tc>
        <w:tc>
          <w:tcPr>
            <w:tcW w:w="274" w:type="pct"/>
            <w:tcBorders>
              <w:top w:val="single" w:color="auto" w:sz="4" w:space="0"/>
              <w:left w:val="single" w:color="auto" w:sz="4" w:space="0"/>
              <w:bottom w:val="single" w:color="auto" w:sz="4" w:space="0"/>
              <w:right w:val="single" w:color="auto" w:sz="4" w:space="0"/>
            </w:tcBorders>
            <w:shd w:val="clear" w:color="auto" w:fill="auto"/>
            <w:vAlign w:val="center"/>
          </w:tcPr>
          <w:p w14:paraId="68B45C12">
            <w:pPr>
              <w:spacing w:line="360" w:lineRule="exact"/>
              <w:rPr>
                <w:rFonts w:hint="default"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w:t>
            </w: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299D3E4D">
            <w:pPr>
              <w:spacing w:line="360" w:lineRule="exact"/>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1</w:t>
            </w: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511B0A50">
            <w:pPr>
              <w:rPr>
                <w:rFonts w:hint="eastAsia" w:ascii="宋体" w:hAnsi="宋体" w:eastAsia="宋体" w:cs="宋体"/>
                <w:color w:val="auto"/>
                <w:kern w:val="2"/>
                <w:sz w:val="24"/>
                <w:szCs w:val="24"/>
                <w:highlight w:val="none"/>
                <w:lang w:val="en-US" w:eastAsia="zh-CN" w:bidi="ar"/>
              </w:rPr>
            </w:pP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8307ADF">
            <w:pPr>
              <w:rPr>
                <w:rFonts w:hint="eastAsia" w:ascii="宋体" w:hAnsi="宋体" w:eastAsia="宋体"/>
                <w:color w:val="auto"/>
                <w:sz w:val="24"/>
                <w:szCs w:val="24"/>
                <w:highlight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0543E78D">
            <w:pPr>
              <w:rPr>
                <w:rFonts w:hint="eastAsia" w:ascii="宋体" w:hAnsi="宋体" w:eastAsia="宋体"/>
                <w:color w:val="auto"/>
                <w:sz w:val="24"/>
                <w:szCs w:val="24"/>
                <w:highlight w:val="none"/>
              </w:rPr>
            </w:pPr>
          </w:p>
        </w:tc>
      </w:tr>
      <w:tr w14:paraId="78CA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110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58C6A2">
            <w:pPr>
              <w:spacing w:line="360" w:lineRule="exact"/>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合计（元）</w:t>
            </w:r>
          </w:p>
        </w:tc>
        <w:tc>
          <w:tcPr>
            <w:tcW w:w="3892"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42D8A0B2">
            <w:pPr>
              <w:spacing w:line="360" w:lineRule="exac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大写：</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；小写：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。（填入开标一览表）</w:t>
            </w:r>
          </w:p>
        </w:tc>
      </w:tr>
    </w:tbl>
    <w:p w14:paraId="2A02A3B1">
      <w:pPr>
        <w:pStyle w:val="42"/>
        <w:widowControl w:val="0"/>
        <w:numPr>
          <w:ilvl w:val="0"/>
          <w:numId w:val="0"/>
        </w:numPr>
        <w:jc w:val="both"/>
        <w:rPr>
          <w:rFonts w:hint="eastAsia"/>
          <w:color w:val="auto"/>
          <w:highlight w:val="none"/>
        </w:rPr>
      </w:pPr>
    </w:p>
    <w:p w14:paraId="525560F9">
      <w:pPr>
        <w:spacing w:line="360" w:lineRule="auto"/>
        <w:ind w:firstLine="4800" w:firstLineChars="20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3075FFE2">
      <w:pPr>
        <w:spacing w:line="360" w:lineRule="auto"/>
        <w:ind w:firstLine="4800" w:firstLineChars="20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39E64942">
      <w:pPr>
        <w:adjustRightInd w:val="0"/>
        <w:snapToGrid w:val="0"/>
        <w:spacing w:line="360" w:lineRule="auto"/>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lang w:bidi="ar"/>
        </w:rPr>
        <w:t xml:space="preserve"> </w:t>
      </w:r>
    </w:p>
    <w:p w14:paraId="42BB42E6">
      <w:pPr>
        <w:spacing w:line="360" w:lineRule="auto"/>
        <w:ind w:firstLine="435"/>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注：</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bidi="ar"/>
        </w:rPr>
        <w:t>表中所列货物为对应本项目需求的全部货物及所需附件购置费、包装费、运输费、人工费、保险费、安装调试费、各种税费、资料费、售后服务费及完成项目应有的全部费用。如有漏项或缺项，投标人承担全部责任。</w:t>
      </w:r>
    </w:p>
    <w:p w14:paraId="54FC375F">
      <w:pPr>
        <w:pStyle w:val="42"/>
        <w:rPr>
          <w:rFonts w:hint="default" w:eastAsia="宋体"/>
          <w:color w:val="auto"/>
          <w:highlight w:val="none"/>
          <w:lang w:val="en-US" w:eastAsia="zh-CN"/>
        </w:rPr>
      </w:pPr>
    </w:p>
    <w:p w14:paraId="25025A75">
      <w:pPr>
        <w:widowControl/>
        <w:jc w:val="center"/>
        <w:rPr>
          <w:rFonts w:hint="eastAsia" w:ascii="宋体" w:hAnsi="宋体" w:eastAsia="宋体" w:cs="宋体"/>
          <w:b/>
          <w:color w:val="auto"/>
          <w:sz w:val="24"/>
          <w:szCs w:val="24"/>
          <w:highlight w:val="none"/>
          <w:lang w:bidi="ar"/>
        </w:rPr>
      </w:pPr>
    </w:p>
    <w:p w14:paraId="6654F95E">
      <w:pPr>
        <w:jc w:val="center"/>
        <w:rPr>
          <w:rFonts w:hint="eastAsia" w:ascii="宋体" w:hAnsi="宋体" w:eastAsia="宋体" w:cs="宋体"/>
          <w:b/>
          <w:color w:val="auto"/>
          <w:sz w:val="36"/>
          <w:szCs w:val="36"/>
          <w:highlight w:val="none"/>
        </w:rPr>
      </w:pPr>
    </w:p>
    <w:p w14:paraId="64EF7432">
      <w:pPr>
        <w:spacing w:line="360" w:lineRule="auto"/>
        <w:jc w:val="center"/>
        <w:rPr>
          <w:rFonts w:hint="eastAsia" w:ascii="宋体" w:hAnsi="宋体" w:eastAsia="宋体" w:cs="宋体"/>
          <w:b/>
          <w:color w:val="auto"/>
          <w:sz w:val="24"/>
          <w:szCs w:val="24"/>
          <w:highlight w:val="none"/>
          <w:lang w:bidi="ar"/>
        </w:rPr>
      </w:pPr>
    </w:p>
    <w:p w14:paraId="51499554">
      <w:pPr>
        <w:spacing w:line="360" w:lineRule="auto"/>
        <w:jc w:val="center"/>
        <w:rPr>
          <w:rFonts w:hint="eastAsia" w:ascii="宋体" w:hAnsi="宋体" w:eastAsia="宋体" w:cs="宋体"/>
          <w:b/>
          <w:color w:val="auto"/>
          <w:sz w:val="24"/>
          <w:szCs w:val="24"/>
          <w:highlight w:val="none"/>
          <w:lang w:bidi="ar"/>
        </w:rPr>
      </w:pPr>
    </w:p>
    <w:p w14:paraId="0EF29854">
      <w:pPr>
        <w:spacing w:line="360" w:lineRule="auto"/>
        <w:jc w:val="center"/>
        <w:rPr>
          <w:rFonts w:hint="eastAsia" w:ascii="宋体" w:hAnsi="宋体" w:eastAsia="宋体" w:cs="宋体"/>
          <w:b/>
          <w:color w:val="auto"/>
          <w:sz w:val="24"/>
          <w:szCs w:val="24"/>
          <w:highlight w:val="none"/>
          <w:lang w:bidi="ar"/>
        </w:rPr>
      </w:pPr>
    </w:p>
    <w:p w14:paraId="0BCA75B5">
      <w:pPr>
        <w:spacing w:line="360" w:lineRule="auto"/>
        <w:jc w:val="center"/>
        <w:rPr>
          <w:rFonts w:hint="eastAsia" w:ascii="宋体" w:hAnsi="宋体" w:eastAsia="宋体" w:cs="宋体"/>
          <w:b/>
          <w:color w:val="auto"/>
          <w:sz w:val="24"/>
          <w:szCs w:val="24"/>
          <w:highlight w:val="none"/>
          <w:lang w:bidi="ar"/>
        </w:rPr>
      </w:pPr>
    </w:p>
    <w:p w14:paraId="71125427">
      <w:pPr>
        <w:spacing w:line="360" w:lineRule="auto"/>
        <w:jc w:val="center"/>
        <w:rPr>
          <w:rFonts w:hint="eastAsia" w:ascii="宋体" w:hAnsi="宋体" w:eastAsia="宋体" w:cs="宋体"/>
          <w:b/>
          <w:color w:val="auto"/>
          <w:sz w:val="24"/>
          <w:szCs w:val="24"/>
          <w:highlight w:val="none"/>
          <w:lang w:bidi="ar"/>
        </w:rPr>
      </w:pPr>
    </w:p>
    <w:p w14:paraId="6D404938">
      <w:pPr>
        <w:spacing w:line="360" w:lineRule="auto"/>
        <w:jc w:val="center"/>
        <w:rPr>
          <w:rFonts w:hint="eastAsia" w:ascii="宋体" w:hAnsi="宋体" w:eastAsia="宋体" w:cs="宋体"/>
          <w:b/>
          <w:color w:val="auto"/>
          <w:sz w:val="24"/>
          <w:szCs w:val="24"/>
          <w:highlight w:val="none"/>
          <w:lang w:bidi="ar"/>
        </w:rPr>
      </w:pPr>
    </w:p>
    <w:p w14:paraId="107B5EE2">
      <w:pPr>
        <w:spacing w:line="360" w:lineRule="auto"/>
        <w:jc w:val="center"/>
        <w:rPr>
          <w:rFonts w:hint="eastAsia" w:ascii="宋体" w:hAnsi="宋体" w:eastAsia="宋体" w:cs="宋体"/>
          <w:b/>
          <w:color w:val="auto"/>
          <w:sz w:val="24"/>
          <w:szCs w:val="24"/>
          <w:highlight w:val="none"/>
          <w:lang w:bidi="ar"/>
        </w:rPr>
      </w:pPr>
    </w:p>
    <w:p w14:paraId="59E7B842">
      <w:pPr>
        <w:spacing w:line="360" w:lineRule="auto"/>
        <w:jc w:val="center"/>
        <w:rPr>
          <w:rFonts w:hint="eastAsia" w:ascii="宋体" w:hAnsi="宋体" w:eastAsia="宋体" w:cs="宋体"/>
          <w:b/>
          <w:color w:val="auto"/>
          <w:sz w:val="24"/>
          <w:szCs w:val="24"/>
          <w:highlight w:val="none"/>
          <w:lang w:bidi="ar"/>
        </w:rPr>
      </w:pPr>
    </w:p>
    <w:p w14:paraId="0472608D">
      <w:pPr>
        <w:spacing w:line="360" w:lineRule="auto"/>
        <w:jc w:val="center"/>
        <w:rPr>
          <w:rFonts w:hint="eastAsia" w:ascii="宋体" w:hAnsi="宋体" w:eastAsia="宋体" w:cs="宋体"/>
          <w:b/>
          <w:color w:val="auto"/>
          <w:sz w:val="24"/>
          <w:szCs w:val="24"/>
          <w:highlight w:val="none"/>
          <w:lang w:bidi="ar"/>
        </w:rPr>
      </w:pPr>
    </w:p>
    <w:p w14:paraId="22BE69D9">
      <w:pPr>
        <w:spacing w:line="360" w:lineRule="auto"/>
        <w:jc w:val="center"/>
        <w:rPr>
          <w:rFonts w:hint="eastAsia" w:ascii="宋体" w:hAnsi="宋体" w:eastAsia="宋体" w:cs="宋体"/>
          <w:b/>
          <w:color w:val="auto"/>
          <w:sz w:val="24"/>
          <w:szCs w:val="24"/>
          <w:highlight w:val="none"/>
          <w:lang w:bidi="ar"/>
        </w:rPr>
      </w:pPr>
    </w:p>
    <w:p w14:paraId="345F947A">
      <w:pPr>
        <w:spacing w:line="360" w:lineRule="auto"/>
        <w:jc w:val="center"/>
        <w:rPr>
          <w:rFonts w:hint="eastAsia" w:ascii="宋体" w:hAnsi="宋体" w:eastAsia="宋体" w:cs="宋体"/>
          <w:b/>
          <w:color w:val="auto"/>
          <w:sz w:val="24"/>
          <w:szCs w:val="24"/>
          <w:highlight w:val="none"/>
          <w:lang w:bidi="ar"/>
        </w:rPr>
      </w:pPr>
    </w:p>
    <w:p w14:paraId="50FB84E2">
      <w:pPr>
        <w:spacing w:line="360" w:lineRule="auto"/>
        <w:jc w:val="center"/>
        <w:rPr>
          <w:rFonts w:hint="eastAsia" w:ascii="宋体" w:hAnsi="宋体" w:eastAsia="宋体" w:cs="宋体"/>
          <w:b/>
          <w:color w:val="auto"/>
          <w:sz w:val="24"/>
          <w:szCs w:val="24"/>
          <w:highlight w:val="none"/>
          <w:lang w:bidi="ar"/>
        </w:rPr>
      </w:pPr>
    </w:p>
    <w:p w14:paraId="5645E14E">
      <w:pPr>
        <w:spacing w:line="360" w:lineRule="auto"/>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六、投标响应表</w:t>
      </w:r>
    </w:p>
    <w:p w14:paraId="51E13FD5">
      <w:pPr>
        <w:spacing w:line="360" w:lineRule="auto"/>
        <w:ind w:firstLine="435"/>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1.商务响应表</w:t>
      </w:r>
    </w:p>
    <w:tbl>
      <w:tblPr>
        <w:tblStyle w:val="27"/>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5"/>
        <w:gridCol w:w="2498"/>
        <w:gridCol w:w="2574"/>
        <w:gridCol w:w="952"/>
      </w:tblGrid>
      <w:tr w14:paraId="6D19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495AA7B1">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p>
        </w:tc>
        <w:tc>
          <w:tcPr>
            <w:tcW w:w="1105" w:type="pct"/>
            <w:tcBorders>
              <w:top w:val="single" w:color="auto" w:sz="4" w:space="0"/>
              <w:left w:val="nil"/>
              <w:bottom w:val="single" w:color="auto" w:sz="4" w:space="0"/>
              <w:right w:val="single" w:color="auto" w:sz="4" w:space="0"/>
            </w:tcBorders>
            <w:shd w:val="clear" w:color="auto" w:fill="auto"/>
            <w:vAlign w:val="center"/>
          </w:tcPr>
          <w:p w14:paraId="35E01EEC">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bCs/>
                <w:color w:val="auto"/>
                <w:kern w:val="2"/>
                <w:szCs w:val="24"/>
                <w:highlight w:val="none"/>
                <w:lang w:bidi="ar"/>
              </w:rPr>
              <w:t>商务条款</w:t>
            </w:r>
          </w:p>
        </w:tc>
        <w:tc>
          <w:tcPr>
            <w:tcW w:w="1441" w:type="pct"/>
            <w:tcBorders>
              <w:top w:val="single" w:color="auto" w:sz="4" w:space="0"/>
              <w:left w:val="nil"/>
              <w:bottom w:val="single" w:color="auto" w:sz="4" w:space="0"/>
              <w:right w:val="single" w:color="auto" w:sz="4" w:space="0"/>
            </w:tcBorders>
            <w:shd w:val="clear" w:color="auto" w:fill="auto"/>
            <w:vAlign w:val="center"/>
          </w:tcPr>
          <w:p w14:paraId="720F139B">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招标文件要求</w:t>
            </w:r>
          </w:p>
        </w:tc>
        <w:tc>
          <w:tcPr>
            <w:tcW w:w="1485" w:type="pct"/>
            <w:tcBorders>
              <w:top w:val="single" w:color="auto" w:sz="4" w:space="0"/>
              <w:left w:val="nil"/>
              <w:bottom w:val="single" w:color="auto" w:sz="4" w:space="0"/>
              <w:right w:val="single" w:color="auto" w:sz="4" w:space="0"/>
            </w:tcBorders>
            <w:shd w:val="clear" w:color="auto" w:fill="auto"/>
            <w:vAlign w:val="center"/>
          </w:tcPr>
          <w:p w14:paraId="47701346">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投标人承诺</w:t>
            </w:r>
          </w:p>
        </w:tc>
        <w:tc>
          <w:tcPr>
            <w:tcW w:w="549" w:type="pct"/>
            <w:tcBorders>
              <w:top w:val="single" w:color="auto" w:sz="4" w:space="0"/>
              <w:left w:val="nil"/>
              <w:bottom w:val="single" w:color="auto" w:sz="4" w:space="0"/>
              <w:right w:val="single" w:color="auto" w:sz="4" w:space="0"/>
            </w:tcBorders>
            <w:shd w:val="clear" w:color="auto" w:fill="auto"/>
            <w:vAlign w:val="center"/>
          </w:tcPr>
          <w:p w14:paraId="31A048E9">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381F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14281E87">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1105" w:type="pct"/>
            <w:tcBorders>
              <w:top w:val="single" w:color="auto" w:sz="4" w:space="0"/>
              <w:left w:val="nil"/>
              <w:bottom w:val="single" w:color="auto" w:sz="4" w:space="0"/>
              <w:right w:val="single" w:color="auto" w:sz="4" w:space="0"/>
            </w:tcBorders>
            <w:shd w:val="clear" w:color="auto" w:fill="auto"/>
            <w:vAlign w:val="center"/>
          </w:tcPr>
          <w:p w14:paraId="6227D7D0">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付款方式</w:t>
            </w:r>
          </w:p>
        </w:tc>
        <w:tc>
          <w:tcPr>
            <w:tcW w:w="1441" w:type="pct"/>
            <w:tcBorders>
              <w:top w:val="single" w:color="auto" w:sz="4" w:space="0"/>
              <w:left w:val="nil"/>
              <w:bottom w:val="single" w:color="auto" w:sz="4" w:space="0"/>
              <w:right w:val="single" w:color="auto" w:sz="4" w:space="0"/>
            </w:tcBorders>
            <w:shd w:val="clear" w:color="auto" w:fill="auto"/>
            <w:vAlign w:val="center"/>
          </w:tcPr>
          <w:p w14:paraId="2D8F3E4D">
            <w:pPr>
              <w:jc w:val="center"/>
              <w:rPr>
                <w:rFonts w:hint="eastAsia" w:ascii="宋体" w:hAnsi="宋体" w:eastAsia="宋体"/>
                <w:color w:val="auto"/>
                <w:sz w:val="24"/>
                <w:szCs w:val="24"/>
                <w:highlight w:val="none"/>
              </w:rPr>
            </w:pPr>
          </w:p>
        </w:tc>
        <w:tc>
          <w:tcPr>
            <w:tcW w:w="1485" w:type="pct"/>
            <w:tcBorders>
              <w:top w:val="single" w:color="auto" w:sz="4" w:space="0"/>
              <w:left w:val="nil"/>
              <w:bottom w:val="single" w:color="auto" w:sz="4" w:space="0"/>
              <w:right w:val="single" w:color="auto" w:sz="4" w:space="0"/>
            </w:tcBorders>
            <w:shd w:val="clear" w:color="auto" w:fill="auto"/>
            <w:vAlign w:val="center"/>
          </w:tcPr>
          <w:p w14:paraId="6B55CD7D">
            <w:pPr>
              <w:jc w:val="center"/>
              <w:rPr>
                <w:rFonts w:hint="eastAsia" w:ascii="宋体" w:hAnsi="宋体" w:eastAsia="宋体"/>
                <w:color w:val="auto"/>
                <w:sz w:val="24"/>
                <w:szCs w:val="24"/>
                <w:highlight w:val="none"/>
              </w:rPr>
            </w:pPr>
          </w:p>
        </w:tc>
        <w:tc>
          <w:tcPr>
            <w:tcW w:w="549" w:type="pct"/>
            <w:tcBorders>
              <w:top w:val="single" w:color="auto" w:sz="4" w:space="0"/>
              <w:left w:val="nil"/>
              <w:bottom w:val="single" w:color="auto" w:sz="4" w:space="0"/>
              <w:right w:val="single" w:color="auto" w:sz="4" w:space="0"/>
            </w:tcBorders>
            <w:shd w:val="clear" w:color="auto" w:fill="auto"/>
            <w:vAlign w:val="center"/>
          </w:tcPr>
          <w:p w14:paraId="55B9131E">
            <w:pPr>
              <w:jc w:val="center"/>
              <w:rPr>
                <w:rFonts w:hint="eastAsia" w:ascii="宋体" w:hAnsi="宋体" w:eastAsia="宋体"/>
                <w:color w:val="auto"/>
                <w:sz w:val="24"/>
                <w:szCs w:val="24"/>
                <w:highlight w:val="none"/>
              </w:rPr>
            </w:pPr>
          </w:p>
        </w:tc>
      </w:tr>
      <w:tr w14:paraId="6C7F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2546E005">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1105" w:type="pct"/>
            <w:tcBorders>
              <w:top w:val="single" w:color="auto" w:sz="4" w:space="0"/>
              <w:left w:val="nil"/>
              <w:bottom w:val="single" w:color="auto" w:sz="4" w:space="0"/>
              <w:right w:val="single" w:color="auto" w:sz="4" w:space="0"/>
            </w:tcBorders>
            <w:shd w:val="clear" w:color="auto" w:fill="auto"/>
            <w:vAlign w:val="center"/>
          </w:tcPr>
          <w:p w14:paraId="2B0CE008">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供货及安装地点</w:t>
            </w:r>
          </w:p>
        </w:tc>
        <w:tc>
          <w:tcPr>
            <w:tcW w:w="1441" w:type="pct"/>
            <w:tcBorders>
              <w:top w:val="single" w:color="auto" w:sz="4" w:space="0"/>
              <w:left w:val="nil"/>
              <w:bottom w:val="single" w:color="auto" w:sz="4" w:space="0"/>
              <w:right w:val="single" w:color="auto" w:sz="4" w:space="0"/>
            </w:tcBorders>
            <w:shd w:val="clear" w:color="auto" w:fill="auto"/>
            <w:vAlign w:val="center"/>
          </w:tcPr>
          <w:p w14:paraId="27FB5FEF">
            <w:pPr>
              <w:jc w:val="center"/>
              <w:rPr>
                <w:rFonts w:hint="eastAsia" w:ascii="宋体" w:hAnsi="宋体" w:eastAsia="宋体"/>
                <w:color w:val="auto"/>
                <w:sz w:val="24"/>
                <w:szCs w:val="24"/>
                <w:highlight w:val="none"/>
              </w:rPr>
            </w:pPr>
          </w:p>
        </w:tc>
        <w:tc>
          <w:tcPr>
            <w:tcW w:w="1485" w:type="pct"/>
            <w:tcBorders>
              <w:top w:val="single" w:color="auto" w:sz="4" w:space="0"/>
              <w:left w:val="nil"/>
              <w:bottom w:val="single" w:color="auto" w:sz="4" w:space="0"/>
              <w:right w:val="single" w:color="auto" w:sz="4" w:space="0"/>
            </w:tcBorders>
            <w:shd w:val="clear" w:color="auto" w:fill="auto"/>
            <w:vAlign w:val="center"/>
          </w:tcPr>
          <w:p w14:paraId="719C232C">
            <w:pPr>
              <w:jc w:val="center"/>
              <w:rPr>
                <w:rFonts w:hint="eastAsia" w:ascii="宋体" w:hAnsi="宋体" w:eastAsia="宋体"/>
                <w:color w:val="auto"/>
                <w:sz w:val="24"/>
                <w:szCs w:val="24"/>
                <w:highlight w:val="none"/>
              </w:rPr>
            </w:pPr>
          </w:p>
        </w:tc>
        <w:tc>
          <w:tcPr>
            <w:tcW w:w="549" w:type="pct"/>
            <w:tcBorders>
              <w:top w:val="single" w:color="auto" w:sz="4" w:space="0"/>
              <w:left w:val="nil"/>
              <w:bottom w:val="single" w:color="auto" w:sz="4" w:space="0"/>
              <w:right w:val="single" w:color="auto" w:sz="4" w:space="0"/>
            </w:tcBorders>
            <w:shd w:val="clear" w:color="auto" w:fill="auto"/>
            <w:vAlign w:val="center"/>
          </w:tcPr>
          <w:p w14:paraId="0DFE368A">
            <w:pPr>
              <w:jc w:val="center"/>
              <w:rPr>
                <w:rFonts w:hint="eastAsia" w:ascii="宋体" w:hAnsi="宋体" w:eastAsia="宋体"/>
                <w:color w:val="auto"/>
                <w:sz w:val="24"/>
                <w:szCs w:val="24"/>
                <w:highlight w:val="none"/>
              </w:rPr>
            </w:pPr>
          </w:p>
        </w:tc>
      </w:tr>
      <w:tr w14:paraId="2B0F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5F4ED346">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1105" w:type="pct"/>
            <w:tcBorders>
              <w:top w:val="single" w:color="auto" w:sz="4" w:space="0"/>
              <w:left w:val="nil"/>
              <w:bottom w:val="single" w:color="auto" w:sz="4" w:space="0"/>
              <w:right w:val="single" w:color="auto" w:sz="4" w:space="0"/>
            </w:tcBorders>
            <w:shd w:val="clear" w:color="auto" w:fill="auto"/>
            <w:vAlign w:val="center"/>
          </w:tcPr>
          <w:p w14:paraId="6E0C08C2">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供货及安装期限</w:t>
            </w:r>
          </w:p>
        </w:tc>
        <w:tc>
          <w:tcPr>
            <w:tcW w:w="1441" w:type="pct"/>
            <w:tcBorders>
              <w:top w:val="single" w:color="auto" w:sz="4" w:space="0"/>
              <w:left w:val="nil"/>
              <w:bottom w:val="single" w:color="auto" w:sz="4" w:space="0"/>
              <w:right w:val="single" w:color="auto" w:sz="4" w:space="0"/>
            </w:tcBorders>
            <w:shd w:val="clear" w:color="auto" w:fill="auto"/>
            <w:vAlign w:val="center"/>
          </w:tcPr>
          <w:p w14:paraId="5EB8DCA2">
            <w:pPr>
              <w:jc w:val="center"/>
              <w:rPr>
                <w:rFonts w:hint="eastAsia" w:ascii="宋体" w:hAnsi="宋体" w:eastAsia="宋体"/>
                <w:color w:val="auto"/>
                <w:sz w:val="24"/>
                <w:szCs w:val="24"/>
                <w:highlight w:val="none"/>
              </w:rPr>
            </w:pPr>
          </w:p>
        </w:tc>
        <w:tc>
          <w:tcPr>
            <w:tcW w:w="1485" w:type="pct"/>
            <w:tcBorders>
              <w:top w:val="single" w:color="auto" w:sz="4" w:space="0"/>
              <w:left w:val="nil"/>
              <w:bottom w:val="single" w:color="auto" w:sz="4" w:space="0"/>
              <w:right w:val="single" w:color="auto" w:sz="4" w:space="0"/>
            </w:tcBorders>
            <w:shd w:val="clear" w:color="auto" w:fill="auto"/>
            <w:vAlign w:val="center"/>
          </w:tcPr>
          <w:p w14:paraId="74F50AE4">
            <w:pPr>
              <w:pStyle w:val="22"/>
              <w:spacing w:before="0" w:beforeAutospacing="0" w:after="0" w:afterAutospacing="0"/>
              <w:jc w:val="center"/>
              <w:rPr>
                <w:rFonts w:hint="eastAsia" w:ascii="宋体" w:hAnsi="宋体" w:eastAsia="宋体" w:cs="Arial"/>
                <w:color w:val="auto"/>
                <w:kern w:val="2"/>
                <w:szCs w:val="24"/>
                <w:highlight w:val="none"/>
              </w:rPr>
            </w:pPr>
          </w:p>
        </w:tc>
        <w:tc>
          <w:tcPr>
            <w:tcW w:w="549" w:type="pct"/>
            <w:tcBorders>
              <w:top w:val="single" w:color="auto" w:sz="4" w:space="0"/>
              <w:left w:val="nil"/>
              <w:bottom w:val="single" w:color="auto" w:sz="4" w:space="0"/>
              <w:right w:val="single" w:color="auto" w:sz="4" w:space="0"/>
            </w:tcBorders>
            <w:shd w:val="clear" w:color="auto" w:fill="auto"/>
            <w:vAlign w:val="center"/>
          </w:tcPr>
          <w:p w14:paraId="77AFB713">
            <w:pPr>
              <w:jc w:val="center"/>
              <w:rPr>
                <w:rFonts w:hint="eastAsia" w:ascii="宋体" w:hAnsi="宋体" w:eastAsia="宋体"/>
                <w:color w:val="auto"/>
                <w:sz w:val="24"/>
                <w:szCs w:val="24"/>
                <w:highlight w:val="none"/>
              </w:rPr>
            </w:pPr>
          </w:p>
        </w:tc>
      </w:tr>
      <w:tr w14:paraId="7B86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03A1FE03">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4</w:t>
            </w:r>
          </w:p>
        </w:tc>
        <w:tc>
          <w:tcPr>
            <w:tcW w:w="1105" w:type="pct"/>
            <w:tcBorders>
              <w:top w:val="single" w:color="auto" w:sz="4" w:space="0"/>
              <w:left w:val="nil"/>
              <w:bottom w:val="single" w:color="auto" w:sz="4" w:space="0"/>
              <w:right w:val="single" w:color="auto" w:sz="4" w:space="0"/>
            </w:tcBorders>
            <w:shd w:val="clear" w:color="auto" w:fill="auto"/>
            <w:vAlign w:val="center"/>
          </w:tcPr>
          <w:p w14:paraId="789A64F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olor w:val="auto"/>
                <w:sz w:val="24"/>
                <w:szCs w:val="24"/>
                <w:highlight w:val="none"/>
              </w:rPr>
            </w:pPr>
            <w:r>
              <w:rPr>
                <w:rFonts w:hint="eastAsia" w:cs="Arial" w:asciiTheme="majorEastAsia" w:hAnsiTheme="majorEastAsia" w:eastAsiaTheme="majorEastAsia"/>
                <w:b/>
                <w:bCs/>
                <w:color w:val="auto"/>
                <w:kern w:val="2"/>
                <w:sz w:val="24"/>
                <w:szCs w:val="32"/>
                <w:highlight w:val="none"/>
                <w:lang w:val="en-US" w:eastAsia="zh-CN" w:bidi="ar-SA"/>
              </w:rPr>
              <w:t>免费质保期限</w:t>
            </w:r>
          </w:p>
        </w:tc>
        <w:tc>
          <w:tcPr>
            <w:tcW w:w="1441" w:type="pct"/>
            <w:tcBorders>
              <w:top w:val="single" w:color="auto" w:sz="4" w:space="0"/>
              <w:left w:val="nil"/>
              <w:bottom w:val="single" w:color="auto" w:sz="4" w:space="0"/>
              <w:right w:val="single" w:color="auto" w:sz="4" w:space="0"/>
            </w:tcBorders>
            <w:shd w:val="clear" w:color="auto" w:fill="auto"/>
            <w:vAlign w:val="center"/>
          </w:tcPr>
          <w:p w14:paraId="56217569">
            <w:pPr>
              <w:jc w:val="center"/>
              <w:rPr>
                <w:rFonts w:hint="eastAsia" w:ascii="宋体" w:hAnsi="宋体" w:eastAsia="宋体"/>
                <w:color w:val="auto"/>
                <w:sz w:val="24"/>
                <w:szCs w:val="24"/>
                <w:highlight w:val="none"/>
              </w:rPr>
            </w:pPr>
          </w:p>
        </w:tc>
        <w:tc>
          <w:tcPr>
            <w:tcW w:w="1485" w:type="pct"/>
            <w:tcBorders>
              <w:top w:val="single" w:color="auto" w:sz="4" w:space="0"/>
              <w:left w:val="nil"/>
              <w:bottom w:val="single" w:color="auto" w:sz="4" w:space="0"/>
              <w:right w:val="single" w:color="auto" w:sz="4" w:space="0"/>
            </w:tcBorders>
            <w:shd w:val="clear" w:color="auto" w:fill="auto"/>
            <w:vAlign w:val="center"/>
          </w:tcPr>
          <w:p w14:paraId="5CA210D7">
            <w:pPr>
              <w:jc w:val="center"/>
              <w:rPr>
                <w:rFonts w:hint="eastAsia" w:ascii="宋体" w:hAnsi="宋体" w:eastAsia="宋体"/>
                <w:color w:val="auto"/>
                <w:sz w:val="24"/>
                <w:szCs w:val="24"/>
                <w:highlight w:val="none"/>
              </w:rPr>
            </w:pPr>
          </w:p>
        </w:tc>
        <w:tc>
          <w:tcPr>
            <w:tcW w:w="549" w:type="pct"/>
            <w:tcBorders>
              <w:top w:val="single" w:color="auto" w:sz="4" w:space="0"/>
              <w:left w:val="nil"/>
              <w:bottom w:val="single" w:color="auto" w:sz="4" w:space="0"/>
              <w:right w:val="single" w:color="auto" w:sz="4" w:space="0"/>
            </w:tcBorders>
            <w:shd w:val="clear" w:color="auto" w:fill="auto"/>
            <w:vAlign w:val="center"/>
          </w:tcPr>
          <w:p w14:paraId="506CDDD3">
            <w:pPr>
              <w:jc w:val="center"/>
              <w:rPr>
                <w:rFonts w:hint="eastAsia" w:ascii="宋体" w:hAnsi="宋体" w:eastAsia="宋体"/>
                <w:color w:val="auto"/>
                <w:sz w:val="24"/>
                <w:szCs w:val="24"/>
                <w:highlight w:val="none"/>
              </w:rPr>
            </w:pPr>
          </w:p>
        </w:tc>
      </w:tr>
    </w:tbl>
    <w:p w14:paraId="17C30BEC">
      <w:pPr>
        <w:spacing w:line="360" w:lineRule="auto"/>
        <w:ind w:firstLine="435"/>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2.技术响应表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387"/>
        <w:gridCol w:w="2548"/>
        <w:gridCol w:w="2035"/>
        <w:gridCol w:w="939"/>
        <w:gridCol w:w="933"/>
      </w:tblGrid>
      <w:tr w14:paraId="1130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0AD2CE9">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p>
        </w:tc>
        <w:tc>
          <w:tcPr>
            <w:tcW w:w="814" w:type="pct"/>
            <w:tcBorders>
              <w:top w:val="single" w:color="auto" w:sz="4" w:space="0"/>
              <w:left w:val="nil"/>
              <w:bottom w:val="single" w:color="auto" w:sz="4" w:space="0"/>
              <w:right w:val="single" w:color="auto" w:sz="4" w:space="0"/>
            </w:tcBorders>
            <w:shd w:val="clear" w:color="auto" w:fill="auto"/>
            <w:vAlign w:val="center"/>
          </w:tcPr>
          <w:p w14:paraId="7EA0A7C1">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bCs/>
                <w:color w:val="auto"/>
                <w:kern w:val="2"/>
                <w:szCs w:val="24"/>
                <w:highlight w:val="none"/>
                <w:lang w:bidi="ar"/>
              </w:rPr>
              <w:t>货物名称</w:t>
            </w:r>
          </w:p>
        </w:tc>
        <w:tc>
          <w:tcPr>
            <w:tcW w:w="1495" w:type="pct"/>
            <w:tcBorders>
              <w:top w:val="single" w:color="auto" w:sz="4" w:space="0"/>
              <w:left w:val="nil"/>
              <w:bottom w:val="single" w:color="auto" w:sz="4" w:space="0"/>
              <w:right w:val="single" w:color="auto" w:sz="4" w:space="0"/>
            </w:tcBorders>
            <w:shd w:val="clear" w:color="auto" w:fill="auto"/>
            <w:vAlign w:val="center"/>
          </w:tcPr>
          <w:p w14:paraId="74509165">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招标文件规定的技术参数及要求</w:t>
            </w:r>
          </w:p>
        </w:tc>
        <w:tc>
          <w:tcPr>
            <w:tcW w:w="1194" w:type="pct"/>
            <w:tcBorders>
              <w:top w:val="single" w:color="auto" w:sz="4" w:space="0"/>
              <w:left w:val="nil"/>
              <w:bottom w:val="single" w:color="auto" w:sz="4" w:space="0"/>
              <w:right w:val="single" w:color="auto" w:sz="4" w:space="0"/>
            </w:tcBorders>
            <w:shd w:val="clear" w:color="auto" w:fill="auto"/>
            <w:vAlign w:val="center"/>
          </w:tcPr>
          <w:p w14:paraId="51E6BA50">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所投产品的品牌、型号及技术参数</w:t>
            </w:r>
          </w:p>
        </w:tc>
        <w:tc>
          <w:tcPr>
            <w:tcW w:w="551" w:type="pct"/>
            <w:tcBorders>
              <w:top w:val="single" w:color="auto" w:sz="4" w:space="0"/>
              <w:left w:val="nil"/>
              <w:bottom w:val="single" w:color="auto" w:sz="4" w:space="0"/>
              <w:right w:val="single" w:color="auto" w:sz="4" w:space="0"/>
            </w:tcBorders>
            <w:shd w:val="clear" w:color="auto" w:fill="auto"/>
            <w:vAlign w:val="center"/>
          </w:tcPr>
          <w:p w14:paraId="01DD0334">
            <w:pPr>
              <w:spacing w:line="240" w:lineRule="atLeast"/>
              <w:ind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是否响应</w:t>
            </w:r>
          </w:p>
        </w:tc>
        <w:tc>
          <w:tcPr>
            <w:tcW w:w="547" w:type="pct"/>
            <w:tcBorders>
              <w:top w:val="single" w:color="auto" w:sz="4" w:space="0"/>
              <w:left w:val="nil"/>
              <w:bottom w:val="single" w:color="auto" w:sz="4" w:space="0"/>
              <w:right w:val="single" w:color="auto" w:sz="4" w:space="0"/>
            </w:tcBorders>
            <w:shd w:val="clear" w:color="auto" w:fill="auto"/>
            <w:vAlign w:val="center"/>
          </w:tcPr>
          <w:p w14:paraId="1B867B30">
            <w:pPr>
              <w:pStyle w:val="22"/>
              <w:spacing w:before="0" w:beforeAutospacing="0" w:after="0" w:afterAutospacing="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13C6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0456292">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814" w:type="pct"/>
            <w:tcBorders>
              <w:top w:val="single" w:color="auto" w:sz="4" w:space="0"/>
              <w:left w:val="nil"/>
              <w:bottom w:val="single" w:color="auto" w:sz="4" w:space="0"/>
              <w:right w:val="single" w:color="auto" w:sz="4" w:space="0"/>
            </w:tcBorders>
            <w:shd w:val="clear" w:color="auto" w:fill="auto"/>
            <w:vAlign w:val="center"/>
          </w:tcPr>
          <w:p w14:paraId="50E33196">
            <w:pPr>
              <w:jc w:val="center"/>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36F22A53">
            <w:pPr>
              <w:jc w:val="center"/>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034E7C09">
            <w:pPr>
              <w:jc w:val="center"/>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0588B7F4">
            <w:pPr>
              <w:ind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77C1E0F">
            <w:pPr>
              <w:jc w:val="center"/>
              <w:rPr>
                <w:rFonts w:hint="eastAsia" w:ascii="宋体" w:hAnsi="宋体" w:eastAsia="宋体"/>
                <w:color w:val="auto"/>
                <w:sz w:val="24"/>
                <w:szCs w:val="24"/>
                <w:highlight w:val="none"/>
              </w:rPr>
            </w:pPr>
          </w:p>
        </w:tc>
      </w:tr>
      <w:tr w14:paraId="0B9A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4FEFC373">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814" w:type="pct"/>
            <w:tcBorders>
              <w:top w:val="single" w:color="auto" w:sz="4" w:space="0"/>
              <w:left w:val="nil"/>
              <w:bottom w:val="single" w:color="auto" w:sz="4" w:space="0"/>
              <w:right w:val="single" w:color="auto" w:sz="4" w:space="0"/>
            </w:tcBorders>
            <w:shd w:val="clear" w:color="auto" w:fill="auto"/>
            <w:vAlign w:val="center"/>
          </w:tcPr>
          <w:p w14:paraId="3C29F1A3">
            <w:pPr>
              <w:jc w:val="center"/>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3027D268">
            <w:pPr>
              <w:jc w:val="center"/>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02BFB19B">
            <w:pPr>
              <w:jc w:val="center"/>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7FC678B">
            <w:pPr>
              <w:ind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A18D709">
            <w:pPr>
              <w:jc w:val="center"/>
              <w:rPr>
                <w:rFonts w:hint="eastAsia" w:ascii="宋体" w:hAnsi="宋体" w:eastAsia="宋体"/>
                <w:color w:val="auto"/>
                <w:sz w:val="24"/>
                <w:szCs w:val="24"/>
                <w:highlight w:val="none"/>
              </w:rPr>
            </w:pPr>
          </w:p>
        </w:tc>
      </w:tr>
      <w:tr w14:paraId="5A51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E17A503">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814" w:type="pct"/>
            <w:tcBorders>
              <w:top w:val="single" w:color="auto" w:sz="4" w:space="0"/>
              <w:left w:val="nil"/>
              <w:bottom w:val="single" w:color="auto" w:sz="4" w:space="0"/>
              <w:right w:val="single" w:color="auto" w:sz="4" w:space="0"/>
            </w:tcBorders>
            <w:shd w:val="clear" w:color="auto" w:fill="auto"/>
            <w:vAlign w:val="center"/>
          </w:tcPr>
          <w:p w14:paraId="2C224653">
            <w:pPr>
              <w:jc w:val="center"/>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39F096A6">
            <w:pPr>
              <w:jc w:val="center"/>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5DD0367E">
            <w:pPr>
              <w:pStyle w:val="22"/>
              <w:spacing w:before="0" w:beforeAutospacing="0" w:after="0" w:afterAutospacing="0"/>
              <w:jc w:val="center"/>
              <w:rPr>
                <w:rFonts w:hint="eastAsia" w:ascii="宋体" w:hAnsi="宋体" w:eastAsia="宋体" w:cs="Arial"/>
                <w:color w:val="auto"/>
                <w:kern w:val="2"/>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B1724DD">
            <w:pPr>
              <w:ind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C118BBE">
            <w:pPr>
              <w:jc w:val="center"/>
              <w:rPr>
                <w:rFonts w:hint="eastAsia" w:ascii="宋体" w:hAnsi="宋体" w:eastAsia="宋体"/>
                <w:color w:val="auto"/>
                <w:sz w:val="24"/>
                <w:szCs w:val="24"/>
                <w:highlight w:val="none"/>
              </w:rPr>
            </w:pPr>
          </w:p>
        </w:tc>
      </w:tr>
      <w:tr w14:paraId="0541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10B57DD">
            <w:pPr>
              <w:jc w:val="center"/>
              <w:rPr>
                <w:rFonts w:hint="default" w:ascii="宋体" w:hAns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4</w:t>
            </w:r>
          </w:p>
        </w:tc>
        <w:tc>
          <w:tcPr>
            <w:tcW w:w="814" w:type="pct"/>
            <w:tcBorders>
              <w:top w:val="single" w:color="auto" w:sz="4" w:space="0"/>
              <w:left w:val="nil"/>
              <w:bottom w:val="single" w:color="auto" w:sz="4" w:space="0"/>
              <w:right w:val="single" w:color="auto" w:sz="4" w:space="0"/>
            </w:tcBorders>
            <w:shd w:val="clear" w:color="auto" w:fill="auto"/>
            <w:vAlign w:val="center"/>
          </w:tcPr>
          <w:p w14:paraId="7B3685C9">
            <w:pPr>
              <w:jc w:val="center"/>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75B75B50">
            <w:pPr>
              <w:jc w:val="center"/>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16371077">
            <w:pPr>
              <w:pStyle w:val="22"/>
              <w:spacing w:before="0" w:beforeAutospacing="0" w:after="0" w:afterAutospacing="0"/>
              <w:jc w:val="center"/>
              <w:rPr>
                <w:rFonts w:hint="eastAsia" w:ascii="宋体" w:hAnsi="宋体" w:eastAsia="宋体" w:cs="Arial"/>
                <w:color w:val="auto"/>
                <w:kern w:val="2"/>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782464D9">
            <w:pPr>
              <w:ind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4DD74F8C">
            <w:pPr>
              <w:jc w:val="center"/>
              <w:rPr>
                <w:rFonts w:hint="eastAsia" w:ascii="宋体" w:hAnsi="宋体" w:eastAsia="宋体"/>
                <w:color w:val="auto"/>
                <w:sz w:val="24"/>
                <w:szCs w:val="24"/>
                <w:highlight w:val="none"/>
              </w:rPr>
            </w:pPr>
          </w:p>
        </w:tc>
      </w:tr>
      <w:tr w14:paraId="7808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9D98E2D">
            <w:pPr>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w:t>
            </w:r>
          </w:p>
        </w:tc>
        <w:tc>
          <w:tcPr>
            <w:tcW w:w="814" w:type="pct"/>
            <w:tcBorders>
              <w:top w:val="single" w:color="auto" w:sz="4" w:space="0"/>
              <w:left w:val="nil"/>
              <w:bottom w:val="single" w:color="auto" w:sz="4" w:space="0"/>
              <w:right w:val="single" w:color="auto" w:sz="4" w:space="0"/>
            </w:tcBorders>
            <w:shd w:val="clear" w:color="auto" w:fill="auto"/>
            <w:vAlign w:val="center"/>
          </w:tcPr>
          <w:p w14:paraId="6A301B14">
            <w:pPr>
              <w:jc w:val="center"/>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528BBA16">
            <w:pPr>
              <w:jc w:val="center"/>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556EC671">
            <w:pPr>
              <w:jc w:val="center"/>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DD584F0">
            <w:pPr>
              <w:spacing w:line="240" w:lineRule="atLeast"/>
              <w:ind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w:t>
            </w:r>
          </w:p>
        </w:tc>
        <w:tc>
          <w:tcPr>
            <w:tcW w:w="547" w:type="pct"/>
            <w:tcBorders>
              <w:top w:val="single" w:color="auto" w:sz="4" w:space="0"/>
              <w:left w:val="nil"/>
              <w:bottom w:val="single" w:color="auto" w:sz="4" w:space="0"/>
              <w:right w:val="single" w:color="auto" w:sz="4" w:space="0"/>
            </w:tcBorders>
            <w:shd w:val="clear" w:color="auto" w:fill="auto"/>
            <w:vAlign w:val="center"/>
          </w:tcPr>
          <w:p w14:paraId="5A049B75">
            <w:pPr>
              <w:jc w:val="center"/>
              <w:rPr>
                <w:rFonts w:hint="eastAsia" w:ascii="宋体" w:hAnsi="宋体" w:eastAsia="宋体"/>
                <w:color w:val="auto"/>
                <w:sz w:val="24"/>
                <w:szCs w:val="24"/>
                <w:highlight w:val="none"/>
              </w:rPr>
            </w:pPr>
          </w:p>
        </w:tc>
      </w:tr>
    </w:tbl>
    <w:p w14:paraId="04A5524E">
      <w:pPr>
        <w:spacing w:line="360" w:lineRule="auto"/>
        <w:ind w:firstLine="4800" w:firstLineChars="20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5553239F">
      <w:pPr>
        <w:spacing w:line="360" w:lineRule="auto"/>
        <w:ind w:firstLine="4800" w:firstLineChars="20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718A67D2">
      <w:pPr>
        <w:pStyle w:val="22"/>
        <w:spacing w:before="0" w:beforeAutospacing="0" w:after="0" w:afterAutospacing="0" w:line="360" w:lineRule="auto"/>
        <w:jc w:val="both"/>
        <w:rPr>
          <w:rFonts w:hint="eastAsia" w:ascii="宋体" w:hAnsi="宋体" w:eastAsia="宋体" w:cs="Arial"/>
          <w:color w:val="auto"/>
          <w:kern w:val="2"/>
          <w:szCs w:val="24"/>
          <w:highlight w:val="none"/>
          <w:lang w:bidi="ar"/>
        </w:rPr>
      </w:pPr>
      <w:r>
        <w:rPr>
          <w:rFonts w:hint="eastAsia" w:ascii="宋体" w:hAnsi="宋体" w:eastAsia="宋体" w:cs="Arial"/>
          <w:color w:val="auto"/>
          <w:kern w:val="2"/>
          <w:szCs w:val="24"/>
          <w:highlight w:val="none"/>
          <w:lang w:bidi="ar"/>
        </w:rPr>
        <w:br w:type="page"/>
      </w:r>
    </w:p>
    <w:p w14:paraId="7C3AF267">
      <w:pPr>
        <w:spacing w:line="360" w:lineRule="auto"/>
        <w:jc w:val="center"/>
        <w:outlineLvl w:val="1"/>
        <w:rPr>
          <w:rFonts w:hint="eastAsia" w:ascii="宋体" w:hAnsi="宋体" w:eastAsia="宋体"/>
          <w:b/>
          <w:color w:val="auto"/>
          <w:sz w:val="24"/>
          <w:szCs w:val="24"/>
          <w:highlight w:val="none"/>
        </w:rPr>
      </w:pPr>
      <w:bookmarkStart w:id="92" w:name="_Toc13112"/>
      <w:r>
        <w:rPr>
          <w:rFonts w:hint="eastAsia" w:ascii="宋体" w:hAnsi="宋体" w:eastAsia="宋体" w:cs="宋体"/>
          <w:b/>
          <w:color w:val="auto"/>
          <w:sz w:val="24"/>
          <w:szCs w:val="24"/>
          <w:highlight w:val="none"/>
          <w:lang w:bidi="ar"/>
        </w:rPr>
        <w:t>七、诚信履约承诺函</w:t>
      </w:r>
      <w:bookmarkEnd w:id="92"/>
    </w:p>
    <w:p w14:paraId="7C724922">
      <w:pPr>
        <w:spacing w:line="360" w:lineRule="auto"/>
        <w:rPr>
          <w:rFonts w:hint="eastAsia" w:ascii="宋体" w:hAnsi="宋体" w:eastAsia="宋体"/>
          <w:b/>
          <w:bCs/>
          <w:color w:val="auto"/>
          <w:sz w:val="24"/>
          <w:szCs w:val="24"/>
          <w:highlight w:val="none"/>
          <w:u w:val="single"/>
        </w:rPr>
      </w:pPr>
      <w:r>
        <w:rPr>
          <w:rFonts w:hint="eastAsia" w:ascii="宋体" w:hAnsi="宋体" w:eastAsia="宋体" w:cs="宋体"/>
          <w:b/>
          <w:bCs/>
          <w:color w:val="auto"/>
          <w:sz w:val="24"/>
          <w:szCs w:val="24"/>
          <w:highlight w:val="none"/>
          <w:lang w:bidi="ar"/>
        </w:rPr>
        <w:t>致：采购人</w:t>
      </w:r>
    </w:p>
    <w:p w14:paraId="476C96F6">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2BE82DB7">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（1）中标或者成交后无正当理由拒不与采购人签订政府采购合同；</w:t>
      </w:r>
    </w:p>
    <w:p w14:paraId="052E90DD">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（2）未按照采购文件确定的事项签订政府采购合同；</w:t>
      </w:r>
    </w:p>
    <w:p w14:paraId="6678176B">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（3）将政府采购合同转包；</w:t>
      </w:r>
    </w:p>
    <w:p w14:paraId="2827595C">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（4）提供假冒伪劣产品；</w:t>
      </w:r>
    </w:p>
    <w:p w14:paraId="089BF112">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（5）擅自变更、中止或者终止政府采购合同。</w:t>
      </w:r>
    </w:p>
    <w:p w14:paraId="617C006D">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293AF9">
      <w:pPr>
        <w:spacing w:line="360" w:lineRule="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本承诺声明：</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（投标人名称）</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对本招标文件的相关要求完全响应。若有幸中标将严格按照以上承诺进行供货和服务。</w:t>
      </w:r>
    </w:p>
    <w:p w14:paraId="61C85971">
      <w:pPr>
        <w:spacing w:line="360" w:lineRule="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p>
    <w:p w14:paraId="5E1C2EF9">
      <w:pPr>
        <w:spacing w:line="360" w:lineRule="auto"/>
        <w:ind w:firstLine="4320" w:firstLineChars="1800"/>
        <w:rPr>
          <w:rFonts w:hint="eastAsia" w:ascii="宋体" w:hAnsi="宋体" w:eastAsia="宋体"/>
          <w:bCs/>
          <w:color w:val="auto"/>
          <w:sz w:val="24"/>
          <w:szCs w:val="24"/>
          <w:highlight w:val="none"/>
          <w:u w:val="single"/>
        </w:rPr>
      </w:pPr>
      <w:r>
        <w:rPr>
          <w:rFonts w:hint="eastAsia" w:ascii="宋体" w:hAnsi="宋体" w:eastAsia="宋体" w:cs="宋体"/>
          <w:bCs/>
          <w:color w:val="auto"/>
          <w:sz w:val="24"/>
          <w:szCs w:val="24"/>
          <w:highlight w:val="none"/>
          <w:lang w:bidi="ar"/>
        </w:rPr>
        <w:t>投标人盖章：</w:t>
      </w:r>
      <w:r>
        <w:rPr>
          <w:rFonts w:hint="eastAsia" w:ascii="宋体" w:hAnsi="宋体" w:eastAsia="宋体"/>
          <w:bCs/>
          <w:color w:val="auto"/>
          <w:sz w:val="24"/>
          <w:szCs w:val="24"/>
          <w:highlight w:val="none"/>
          <w:u w:val="single"/>
          <w:lang w:bidi="ar"/>
        </w:rPr>
        <w:t xml:space="preserve">             </w:t>
      </w:r>
    </w:p>
    <w:p w14:paraId="7A42E803">
      <w:pPr>
        <w:spacing w:line="360" w:lineRule="auto"/>
        <w:ind w:firstLine="4320" w:firstLineChars="18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日</w:t>
      </w: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期：</w:t>
      </w:r>
      <w:r>
        <w:rPr>
          <w:rFonts w:hint="eastAsia" w:ascii="宋体" w:hAnsi="宋体" w:eastAsia="宋体"/>
          <w:bCs/>
          <w:color w:val="auto"/>
          <w:sz w:val="24"/>
          <w:szCs w:val="24"/>
          <w:highlight w:val="none"/>
          <w:u w:val="single"/>
          <w:lang w:bidi="ar"/>
        </w:rPr>
        <w:t xml:space="preserve">             </w:t>
      </w:r>
    </w:p>
    <w:p w14:paraId="73CBA7F5">
      <w:pPr>
        <w:widowControl/>
        <w:jc w:val="left"/>
        <w:rPr>
          <w:rFonts w:hint="eastAsia" w:ascii="宋体" w:hAnsi="宋体" w:eastAsia="宋体" w:cs="Arial"/>
          <w:color w:val="auto"/>
          <w:sz w:val="24"/>
          <w:szCs w:val="24"/>
          <w:highlight w:val="none"/>
        </w:rPr>
      </w:pPr>
      <w:r>
        <w:rPr>
          <w:rFonts w:hint="eastAsia" w:ascii="宋体" w:hAnsi="宋体" w:eastAsia="宋体" w:cs="Arial"/>
          <w:color w:val="auto"/>
          <w:sz w:val="24"/>
          <w:szCs w:val="24"/>
          <w:highlight w:val="none"/>
          <w:lang w:bidi="ar"/>
        </w:rPr>
        <w:br w:type="page"/>
      </w:r>
    </w:p>
    <w:p w14:paraId="66F75F5B">
      <w:pPr>
        <w:spacing w:line="360" w:lineRule="auto"/>
        <w:jc w:val="center"/>
        <w:outlineLvl w:val="1"/>
        <w:rPr>
          <w:rFonts w:hint="eastAsia" w:ascii="宋体" w:hAnsi="宋体" w:eastAsia="宋体"/>
          <w:b/>
          <w:color w:val="auto"/>
          <w:sz w:val="24"/>
          <w:szCs w:val="24"/>
          <w:highlight w:val="none"/>
        </w:rPr>
      </w:pPr>
      <w:bookmarkStart w:id="93" w:name="_Toc25635"/>
      <w:r>
        <w:rPr>
          <w:rFonts w:hint="eastAsia" w:ascii="宋体" w:hAnsi="宋体" w:eastAsia="宋体" w:cs="宋体"/>
          <w:b/>
          <w:color w:val="auto"/>
          <w:sz w:val="24"/>
          <w:szCs w:val="24"/>
          <w:highlight w:val="none"/>
          <w:lang w:val="en-US" w:eastAsia="zh-CN" w:bidi="ar"/>
        </w:rPr>
        <w:t>八</w:t>
      </w:r>
      <w:r>
        <w:rPr>
          <w:rFonts w:hint="eastAsia" w:ascii="宋体" w:hAnsi="宋体" w:eastAsia="宋体" w:cs="宋体"/>
          <w:b/>
          <w:color w:val="auto"/>
          <w:sz w:val="24"/>
          <w:szCs w:val="24"/>
          <w:highlight w:val="none"/>
          <w:lang w:bidi="ar"/>
        </w:rPr>
        <w:t>、诚信投标承诺书</w:t>
      </w:r>
      <w:bookmarkEnd w:id="93"/>
    </w:p>
    <w:p w14:paraId="7A6944AF">
      <w:pPr>
        <w:spacing w:line="500" w:lineRule="exact"/>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一、将遵循公开、公正和诚实信用的原则自愿参加</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项目的</w:t>
      </w:r>
      <w:r>
        <w:rPr>
          <w:rFonts w:hint="eastAsia" w:ascii="宋体" w:hAnsi="宋体" w:eastAsia="宋体" w:cs="宋体"/>
          <w:color w:val="auto"/>
          <w:sz w:val="24"/>
          <w:szCs w:val="24"/>
          <w:highlight w:val="none"/>
          <w:lang w:val="en-US" w:eastAsia="zh-CN" w:bidi="ar"/>
        </w:rPr>
        <w:t>投标</w:t>
      </w:r>
      <w:r>
        <w:rPr>
          <w:rFonts w:hint="eastAsia" w:ascii="宋体" w:hAnsi="宋体" w:eastAsia="宋体" w:cs="宋体"/>
          <w:color w:val="auto"/>
          <w:sz w:val="24"/>
          <w:szCs w:val="24"/>
          <w:highlight w:val="none"/>
          <w:lang w:bidi="ar"/>
        </w:rPr>
        <w:t>，所提供的一切材料都是真实、有效、合法的；</w:t>
      </w:r>
    </w:p>
    <w:p w14:paraId="087C43AD">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223D0197">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三、不出借、转让资质证书，不让他人挂靠投标，不以他人名义投标或者以其他方式弄虚作假，骗取中标；</w:t>
      </w:r>
    </w:p>
    <w:p w14:paraId="1972CB1C">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四、不与其他投标人相互串通投标报价，不排挤其他投标人的公平竞争、损害招标人的合法权益；</w:t>
      </w:r>
    </w:p>
    <w:p w14:paraId="63E6AF10">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五、不与招标人、招标代理机构或其他投标人串通投标，损害国家利益、社会公共利益或者他人的合法权益；</w:t>
      </w:r>
    </w:p>
    <w:p w14:paraId="23D6D401">
      <w:pPr>
        <w:widowControl/>
        <w:spacing w:line="500" w:lineRule="exact"/>
        <w:ind w:firstLine="480" w:firstLineChars="200"/>
        <w:jc w:val="left"/>
        <w:rPr>
          <w:rFonts w:hint="eastAsia"/>
          <w:color w:val="auto"/>
          <w:highlight w:val="none"/>
        </w:rPr>
      </w:pPr>
      <w:r>
        <w:rPr>
          <w:rFonts w:hint="eastAsia" w:ascii="宋体" w:hAnsi="宋体" w:eastAsia="宋体" w:cs="宋体"/>
          <w:color w:val="auto"/>
          <w:sz w:val="24"/>
          <w:szCs w:val="24"/>
          <w:highlight w:val="none"/>
          <w:lang w:bidi="ar"/>
        </w:rPr>
        <w:t>六、</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我公司</w:t>
      </w:r>
      <w:r>
        <w:rPr>
          <w:rFonts w:hint="eastAsia" w:ascii="宋体" w:hAnsi="宋体" w:eastAsia="宋体" w:cs="宋体"/>
          <w:color w:val="auto"/>
          <w:kern w:val="0"/>
          <w:sz w:val="24"/>
          <w:szCs w:val="24"/>
          <w:highlight w:val="none"/>
          <w:lang w:bidi="ar"/>
        </w:rPr>
        <w:t>或</w:t>
      </w:r>
      <w:r>
        <w:rPr>
          <w:rFonts w:hint="eastAsia" w:ascii="宋体" w:hAnsi="宋体" w:eastAsia="宋体" w:cs="宋体"/>
          <w:color w:val="auto"/>
          <w:sz w:val="24"/>
          <w:szCs w:val="24"/>
          <w:highlight w:val="none"/>
          <w:u w:val="single"/>
          <w:lang w:val="en-US" w:eastAsia="zh-CN" w:bidi="ar"/>
        </w:rPr>
        <w:t>我公司</w:t>
      </w:r>
      <w:r>
        <w:rPr>
          <w:rFonts w:hint="eastAsia" w:ascii="宋体" w:hAnsi="宋体" w:eastAsia="宋体" w:cs="宋体"/>
          <w:color w:val="auto"/>
          <w:sz w:val="24"/>
          <w:szCs w:val="24"/>
          <w:highlight w:val="none"/>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 1-7 项信誉要求，在此一并承诺我公司所属分公司、办事处等分支机构没有上述 1-7 项情形）</w:t>
      </w:r>
    </w:p>
    <w:p w14:paraId="4191AF07">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七、严格遵守开标现场纪律，服从监管人员管理；</w:t>
      </w:r>
    </w:p>
    <w:p w14:paraId="0CF47484">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八、保证中标后不转包，若有分包征得招标人同意；</w:t>
      </w:r>
    </w:p>
    <w:p w14:paraId="19269EAF">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九、保证中标之后，按照投标文件要求提供相关后续服务；</w:t>
      </w:r>
    </w:p>
    <w:p w14:paraId="79A251EC">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十、保证企业及所属相关人员在本次投标中无行贿等犯罪行为；</w:t>
      </w:r>
    </w:p>
    <w:p w14:paraId="632DCD55">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F2B26CB">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以上内容我已仔细阅读，本公司若有违反承诺内容的行为，自愿接受取消投标或者中标资格、记入不良行为记录等有关处理，愿意承担法律责任，给招标人造成损失的，依法承担赔偿责任。</w:t>
      </w:r>
    </w:p>
    <w:p w14:paraId="657C2FAE">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01A06B5">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18047E3">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                      基本账户：</w:t>
      </w:r>
    </w:p>
    <w:p w14:paraId="2152AC4E">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投标单位（盖章）：              法定代表人（签字或盖章）：</w:t>
      </w:r>
    </w:p>
    <w:p w14:paraId="7BA8E1D5">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18EC9CBF">
      <w:pPr>
        <w:spacing w:line="560" w:lineRule="exact"/>
        <w:jc w:val="right"/>
        <w:rPr>
          <w:rFonts w:hint="eastAsia" w:ascii="仿宋_GB2312" w:eastAsia="仿宋_GB2312" w:cs="仿宋_GB2312"/>
          <w:color w:val="auto"/>
          <w:sz w:val="24"/>
          <w:szCs w:val="24"/>
          <w:highlight w:val="none"/>
        </w:rPr>
      </w:pPr>
      <w:r>
        <w:rPr>
          <w:rFonts w:hint="eastAsia" w:ascii="宋体" w:hAnsi="宋体" w:eastAsia="宋体" w:cs="宋体"/>
          <w:color w:val="auto"/>
          <w:sz w:val="24"/>
          <w:szCs w:val="24"/>
          <w:highlight w:val="none"/>
          <w:lang w:bidi="ar"/>
        </w:rPr>
        <w:t>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年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月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4846024F">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b/>
          <w:color w:val="auto"/>
          <w:sz w:val="24"/>
          <w:szCs w:val="24"/>
          <w:highlight w:val="none"/>
          <w:lang w:bidi="ar"/>
        </w:rPr>
        <w:t xml:space="preserve"> </w:t>
      </w:r>
    </w:p>
    <w:p w14:paraId="40D37002">
      <w:pPr>
        <w:spacing w:line="360" w:lineRule="auto"/>
        <w:jc w:val="center"/>
        <w:outlineLvl w:val="1"/>
        <w:rPr>
          <w:rFonts w:hint="eastAsia" w:asciiTheme="minorEastAsia" w:hAnsiTheme="minorEastAsia" w:eastAsiaTheme="minorEastAsia"/>
          <w:b/>
          <w:color w:val="auto"/>
          <w:sz w:val="24"/>
          <w:highlight w:val="none"/>
        </w:rPr>
      </w:pPr>
      <w:bookmarkStart w:id="94" w:name="_Toc32633"/>
      <w:bookmarkStart w:id="95" w:name="_Toc21120"/>
      <w:bookmarkStart w:id="96" w:name="_Toc2683"/>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94"/>
      <w:bookmarkEnd w:id="95"/>
      <w:bookmarkEnd w:id="96"/>
    </w:p>
    <w:p w14:paraId="0A7CD85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285473E">
      <w:pPr>
        <w:spacing w:line="360" w:lineRule="auto"/>
        <w:ind w:firstLine="480" w:firstLineChars="200"/>
        <w:rPr>
          <w:rFonts w:hint="eastAsia" w:asciiTheme="minorEastAsia" w:hAnsiTheme="minorEastAsia" w:eastAsiaTheme="minorEastAsia"/>
          <w:color w:val="auto"/>
          <w:sz w:val="24"/>
          <w:highlight w:val="none"/>
        </w:rPr>
      </w:pPr>
    </w:p>
    <w:p w14:paraId="7E0AFF18">
      <w:pPr>
        <w:widowControl/>
        <w:jc w:val="left"/>
        <w:rPr>
          <w:rFonts w:hint="eastAsia" w:asciiTheme="minorEastAsia" w:hAnsiTheme="minorEastAsia" w:eastAsiaTheme="minorEastAsia"/>
          <w:color w:val="auto"/>
          <w:sz w:val="24"/>
          <w:highlight w:val="none"/>
        </w:rPr>
      </w:pPr>
    </w:p>
    <w:bookmarkEnd w:id="79"/>
    <w:bookmarkEnd w:id="80"/>
    <w:p w14:paraId="06E93961">
      <w:pPr>
        <w:widowControl/>
        <w:jc w:val="center"/>
        <w:rPr>
          <w:rFonts w:hint="eastAsia" w:ascii="宋体" w:hAnsi="宋体" w:eastAsia="宋体" w:cs="宋体"/>
          <w:b/>
          <w:color w:val="auto"/>
          <w:sz w:val="24"/>
          <w:szCs w:val="24"/>
          <w:highlight w:val="none"/>
          <w:lang w:bidi="ar"/>
        </w:rPr>
      </w:pPr>
      <w:bookmarkStart w:id="97" w:name="_Toc6435"/>
    </w:p>
    <w:p w14:paraId="3C4AE2E1">
      <w:pPr>
        <w:widowControl/>
        <w:jc w:val="center"/>
        <w:rPr>
          <w:rFonts w:hint="eastAsia" w:ascii="宋体" w:hAnsi="宋体" w:eastAsia="宋体" w:cs="宋体"/>
          <w:b/>
          <w:color w:val="auto"/>
          <w:sz w:val="24"/>
          <w:szCs w:val="24"/>
          <w:highlight w:val="none"/>
          <w:lang w:bidi="ar"/>
        </w:rPr>
      </w:pPr>
    </w:p>
    <w:p w14:paraId="1FEEA4C3">
      <w:pPr>
        <w:widowControl/>
        <w:jc w:val="center"/>
        <w:rPr>
          <w:rFonts w:hint="eastAsia" w:ascii="宋体" w:hAnsi="宋体" w:eastAsia="宋体" w:cs="宋体"/>
          <w:b/>
          <w:color w:val="auto"/>
          <w:sz w:val="24"/>
          <w:szCs w:val="24"/>
          <w:highlight w:val="none"/>
          <w:lang w:bidi="ar"/>
        </w:rPr>
      </w:pPr>
    </w:p>
    <w:p w14:paraId="21338A35">
      <w:pPr>
        <w:widowControl/>
        <w:jc w:val="center"/>
        <w:rPr>
          <w:rFonts w:hint="eastAsia" w:ascii="宋体" w:hAnsi="宋体" w:eastAsia="宋体" w:cs="宋体"/>
          <w:b/>
          <w:color w:val="auto"/>
          <w:sz w:val="24"/>
          <w:szCs w:val="24"/>
          <w:highlight w:val="none"/>
          <w:lang w:bidi="ar"/>
        </w:rPr>
      </w:pPr>
    </w:p>
    <w:p w14:paraId="5149E407">
      <w:pPr>
        <w:widowControl/>
        <w:jc w:val="center"/>
        <w:rPr>
          <w:rFonts w:hint="eastAsia" w:ascii="宋体" w:hAnsi="宋体" w:eastAsia="宋体" w:cs="宋体"/>
          <w:b/>
          <w:color w:val="auto"/>
          <w:sz w:val="24"/>
          <w:szCs w:val="24"/>
          <w:highlight w:val="none"/>
          <w:lang w:bidi="ar"/>
        </w:rPr>
      </w:pPr>
    </w:p>
    <w:p w14:paraId="1ABDB30B">
      <w:pPr>
        <w:widowControl/>
        <w:jc w:val="center"/>
        <w:rPr>
          <w:rFonts w:hint="eastAsia" w:ascii="宋体" w:hAnsi="宋体" w:eastAsia="宋体" w:cs="宋体"/>
          <w:b/>
          <w:color w:val="auto"/>
          <w:sz w:val="24"/>
          <w:szCs w:val="24"/>
          <w:highlight w:val="none"/>
          <w:lang w:bidi="ar"/>
        </w:rPr>
      </w:pPr>
    </w:p>
    <w:p w14:paraId="7A8A5FF2">
      <w:pPr>
        <w:widowControl/>
        <w:jc w:val="center"/>
        <w:rPr>
          <w:rFonts w:hint="eastAsia" w:ascii="宋体" w:hAnsi="宋体" w:eastAsia="宋体" w:cs="宋体"/>
          <w:b/>
          <w:color w:val="auto"/>
          <w:sz w:val="24"/>
          <w:szCs w:val="24"/>
          <w:highlight w:val="none"/>
          <w:lang w:bidi="ar"/>
        </w:rPr>
      </w:pPr>
    </w:p>
    <w:p w14:paraId="298FB489">
      <w:pPr>
        <w:widowControl/>
        <w:jc w:val="center"/>
        <w:rPr>
          <w:rFonts w:hint="eastAsia" w:ascii="宋体" w:hAnsi="宋体" w:eastAsia="宋体" w:cs="宋体"/>
          <w:b/>
          <w:color w:val="auto"/>
          <w:sz w:val="24"/>
          <w:szCs w:val="24"/>
          <w:highlight w:val="none"/>
          <w:lang w:bidi="ar"/>
        </w:rPr>
      </w:pPr>
    </w:p>
    <w:p w14:paraId="090DBBB9">
      <w:pPr>
        <w:widowControl/>
        <w:jc w:val="center"/>
        <w:rPr>
          <w:rFonts w:hint="eastAsia" w:ascii="宋体" w:hAnsi="宋体" w:eastAsia="宋体" w:cs="宋体"/>
          <w:b/>
          <w:color w:val="auto"/>
          <w:sz w:val="24"/>
          <w:szCs w:val="24"/>
          <w:highlight w:val="none"/>
          <w:lang w:bidi="ar"/>
        </w:rPr>
      </w:pPr>
    </w:p>
    <w:p w14:paraId="6EE7546A">
      <w:pPr>
        <w:widowControl/>
        <w:jc w:val="center"/>
        <w:rPr>
          <w:rFonts w:hint="eastAsia" w:ascii="宋体" w:hAnsi="宋体" w:eastAsia="宋体" w:cs="宋体"/>
          <w:b/>
          <w:color w:val="auto"/>
          <w:sz w:val="24"/>
          <w:szCs w:val="24"/>
          <w:highlight w:val="none"/>
          <w:lang w:bidi="ar"/>
        </w:rPr>
      </w:pPr>
    </w:p>
    <w:p w14:paraId="3B9E46CB">
      <w:pPr>
        <w:widowControl/>
        <w:jc w:val="center"/>
        <w:rPr>
          <w:rFonts w:hint="eastAsia" w:ascii="宋体" w:hAnsi="宋体" w:eastAsia="宋体" w:cs="宋体"/>
          <w:b/>
          <w:color w:val="auto"/>
          <w:sz w:val="24"/>
          <w:szCs w:val="24"/>
          <w:highlight w:val="none"/>
          <w:lang w:bidi="ar"/>
        </w:rPr>
      </w:pPr>
    </w:p>
    <w:p w14:paraId="420E9CF5">
      <w:pPr>
        <w:widowControl/>
        <w:jc w:val="center"/>
        <w:rPr>
          <w:rFonts w:hint="eastAsia" w:ascii="宋体" w:hAnsi="宋体" w:eastAsia="宋体" w:cs="宋体"/>
          <w:b/>
          <w:color w:val="auto"/>
          <w:sz w:val="24"/>
          <w:szCs w:val="24"/>
          <w:highlight w:val="none"/>
          <w:lang w:bidi="ar"/>
        </w:rPr>
      </w:pPr>
    </w:p>
    <w:p w14:paraId="45A83A38">
      <w:pPr>
        <w:widowControl/>
        <w:jc w:val="center"/>
        <w:rPr>
          <w:rFonts w:hint="eastAsia" w:ascii="宋体" w:hAnsi="宋体" w:eastAsia="宋体" w:cs="宋体"/>
          <w:b/>
          <w:color w:val="auto"/>
          <w:sz w:val="24"/>
          <w:szCs w:val="24"/>
          <w:highlight w:val="none"/>
          <w:lang w:bidi="ar"/>
        </w:rPr>
      </w:pPr>
    </w:p>
    <w:p w14:paraId="412D12CE">
      <w:pPr>
        <w:spacing w:line="360" w:lineRule="auto"/>
        <w:jc w:val="center"/>
        <w:outlineLvl w:val="0"/>
        <w:rPr>
          <w:rFonts w:hint="eastAsia" w:ascii="宋体" w:hAnsi="宋体" w:eastAsia="宋体"/>
          <w:b/>
          <w:bCs/>
          <w:color w:val="auto"/>
          <w:sz w:val="28"/>
          <w:highlight w:val="none"/>
        </w:rPr>
      </w:pPr>
      <w:bookmarkStart w:id="98" w:name="_Toc2364"/>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97"/>
      <w:bookmarkEnd w:id="98"/>
    </w:p>
    <w:p w14:paraId="79374884">
      <w:pPr>
        <w:spacing w:line="360" w:lineRule="auto"/>
        <w:jc w:val="center"/>
        <w:outlineLvl w:val="1"/>
        <w:rPr>
          <w:rFonts w:hint="eastAsia" w:ascii="仿宋" w:hAnsi="仿宋" w:eastAsia="仿宋" w:cs="仿宋"/>
          <w:b/>
          <w:bCs/>
          <w:color w:val="auto"/>
          <w:sz w:val="32"/>
          <w:szCs w:val="44"/>
          <w:highlight w:val="none"/>
        </w:rPr>
      </w:pPr>
      <w:bookmarkStart w:id="99" w:name="_Toc4098"/>
      <w:bookmarkStart w:id="100" w:name="_Toc27489"/>
      <w:bookmarkStart w:id="101" w:name="_Toc27159"/>
      <w:r>
        <w:rPr>
          <w:rFonts w:hint="eastAsia" w:ascii="仿宋" w:hAnsi="仿宋" w:eastAsia="仿宋" w:cs="仿宋"/>
          <w:b/>
          <w:bCs/>
          <w:color w:val="auto"/>
          <w:sz w:val="32"/>
          <w:szCs w:val="44"/>
          <w:highlight w:val="none"/>
        </w:rPr>
        <w:t>询问函范本</w:t>
      </w:r>
      <w:bookmarkEnd w:id="99"/>
      <w:bookmarkEnd w:id="100"/>
      <w:bookmarkEnd w:id="101"/>
    </w:p>
    <w:p w14:paraId="58E5EE6E">
      <w:pPr>
        <w:adjustRightInd w:val="0"/>
        <w:snapToGrid w:val="0"/>
        <w:spacing w:line="360" w:lineRule="auto"/>
        <w:rPr>
          <w:rFonts w:hint="eastAsia"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（如为对采购文件或采购程序的询问或疑问，请按询问函范本格式进行提交）</w:t>
      </w:r>
    </w:p>
    <w:p w14:paraId="07F8E32E">
      <w:pPr>
        <w:adjustRightInd w:val="0"/>
        <w:snapToGrid w:val="0"/>
        <w:spacing w:line="360" w:lineRule="auto"/>
        <w:rPr>
          <w:rFonts w:hint="eastAsia"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723020CB">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B66F7B8">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bookmarkStart w:id="102" w:name="_Toc13899"/>
      <w:r>
        <w:rPr>
          <w:rFonts w:hint="eastAsia" w:cs="仿宋" w:asciiTheme="minorEastAsia" w:hAnsiTheme="minorEastAsia" w:eastAsiaTheme="minorEastAsia"/>
          <w:color w:val="auto"/>
          <w:sz w:val="24"/>
          <w:szCs w:val="24"/>
          <w:highlight w:val="none"/>
        </w:rPr>
        <w:t>一、(事项一)</w:t>
      </w:r>
      <w:bookmarkEnd w:id="102"/>
    </w:p>
    <w:p w14:paraId="783A1DF0">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89B870E">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199227E">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ACCFFA8">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bookmarkStart w:id="103" w:name="_Toc3352"/>
      <w:r>
        <w:rPr>
          <w:rFonts w:hint="eastAsia" w:cs="仿宋" w:asciiTheme="minorEastAsia" w:hAnsiTheme="minorEastAsia" w:eastAsiaTheme="minorEastAsia"/>
          <w:color w:val="auto"/>
          <w:sz w:val="24"/>
          <w:szCs w:val="24"/>
          <w:highlight w:val="none"/>
        </w:rPr>
        <w:t>二、(事项二)</w:t>
      </w:r>
      <w:bookmarkEnd w:id="103"/>
    </w:p>
    <w:p w14:paraId="0578BF9A">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45B3C2F">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B208442">
      <w:pPr>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97E9FC1">
      <w:pPr>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39C3AFC4">
      <w:pPr>
        <w:tabs>
          <w:tab w:val="left" w:pos="630"/>
        </w:tabs>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33AC753">
      <w:pPr>
        <w:rPr>
          <w:rFonts w:hint="eastAsia"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20FD7BD1">
      <w:pPr>
        <w:jc w:val="center"/>
        <w:outlineLvl w:val="1"/>
        <w:rPr>
          <w:rFonts w:hint="eastAsia" w:ascii="仿宋" w:hAnsi="仿宋" w:eastAsia="仿宋" w:cs="仿宋"/>
          <w:b/>
          <w:bCs/>
          <w:color w:val="auto"/>
          <w:sz w:val="32"/>
          <w:szCs w:val="44"/>
          <w:highlight w:val="none"/>
        </w:rPr>
      </w:pPr>
      <w:bookmarkStart w:id="104" w:name="_Toc10606"/>
      <w:bookmarkStart w:id="105" w:name="_Toc1575"/>
      <w:bookmarkStart w:id="106" w:name="_Toc3245"/>
      <w:r>
        <w:rPr>
          <w:rFonts w:hint="eastAsia" w:ascii="仿宋" w:hAnsi="仿宋" w:eastAsia="仿宋" w:cs="仿宋"/>
          <w:b/>
          <w:bCs/>
          <w:color w:val="auto"/>
          <w:sz w:val="32"/>
          <w:szCs w:val="44"/>
          <w:highlight w:val="none"/>
        </w:rPr>
        <w:t>质疑函范本</w:t>
      </w:r>
      <w:bookmarkEnd w:id="104"/>
      <w:bookmarkEnd w:id="105"/>
      <w:bookmarkEnd w:id="106"/>
    </w:p>
    <w:p w14:paraId="3783D166">
      <w:pPr>
        <w:adjustRightInd w:val="0"/>
        <w:snapToGrid w:val="0"/>
        <w:spacing w:before="312" w:beforeLines="100" w:line="360" w:lineRule="auto"/>
        <w:rPr>
          <w:rFonts w:hint="eastAsia" w:cs="仿宋" w:asciiTheme="minorEastAsia" w:hAnsiTheme="minorEastAsia" w:eastAsiaTheme="minorEastAsia"/>
          <w:b/>
          <w:bCs/>
          <w:color w:val="auto"/>
          <w:sz w:val="24"/>
          <w:szCs w:val="24"/>
          <w:highlight w:val="none"/>
        </w:rPr>
      </w:pPr>
      <w:bookmarkStart w:id="107" w:name="_Toc21381"/>
      <w:r>
        <w:rPr>
          <w:rFonts w:hint="eastAsia" w:cs="仿宋" w:asciiTheme="minorEastAsia" w:hAnsiTheme="minorEastAsia" w:eastAsiaTheme="minorEastAsia"/>
          <w:b/>
          <w:bCs/>
          <w:color w:val="auto"/>
          <w:sz w:val="24"/>
          <w:szCs w:val="24"/>
          <w:highlight w:val="none"/>
        </w:rPr>
        <w:t>一、质疑供应商基本信息</w:t>
      </w:r>
      <w:bookmarkEnd w:id="107"/>
    </w:p>
    <w:p w14:paraId="5705130A">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8B8506E">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1F27815">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DF59BAA">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261A106">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666B3BF8">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AE87C4D">
      <w:pPr>
        <w:adjustRightInd w:val="0"/>
        <w:snapToGrid w:val="0"/>
        <w:spacing w:line="360" w:lineRule="auto"/>
        <w:rPr>
          <w:rFonts w:hint="eastAsia" w:cs="仿宋" w:asciiTheme="minorEastAsia" w:hAnsiTheme="minorEastAsia" w:eastAsiaTheme="minorEastAsia"/>
          <w:b/>
          <w:bCs/>
          <w:color w:val="auto"/>
          <w:sz w:val="24"/>
          <w:szCs w:val="24"/>
          <w:highlight w:val="none"/>
        </w:rPr>
      </w:pPr>
      <w:bookmarkStart w:id="108" w:name="_Toc28415"/>
      <w:r>
        <w:rPr>
          <w:rFonts w:hint="eastAsia" w:cs="仿宋" w:asciiTheme="minorEastAsia" w:hAnsiTheme="minorEastAsia" w:eastAsiaTheme="minorEastAsia"/>
          <w:b/>
          <w:bCs/>
          <w:color w:val="auto"/>
          <w:sz w:val="24"/>
          <w:szCs w:val="24"/>
          <w:highlight w:val="none"/>
        </w:rPr>
        <w:t>二、质疑项目基本情况</w:t>
      </w:r>
      <w:bookmarkEnd w:id="108"/>
    </w:p>
    <w:p w14:paraId="03F55C56">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76E3F1DB">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1C25B9E">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8417605">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2596B71">
      <w:pPr>
        <w:adjustRightInd w:val="0"/>
        <w:snapToGrid w:val="0"/>
        <w:spacing w:line="360" w:lineRule="auto"/>
        <w:rPr>
          <w:rFonts w:hint="eastAsia" w:cs="仿宋" w:asciiTheme="minorEastAsia" w:hAnsiTheme="minorEastAsia" w:eastAsiaTheme="minorEastAsia"/>
          <w:b/>
          <w:bCs/>
          <w:color w:val="auto"/>
          <w:sz w:val="24"/>
          <w:szCs w:val="24"/>
          <w:highlight w:val="none"/>
        </w:rPr>
      </w:pPr>
      <w:bookmarkStart w:id="109" w:name="_Toc19014"/>
      <w:r>
        <w:rPr>
          <w:rFonts w:hint="eastAsia" w:cs="仿宋" w:asciiTheme="minorEastAsia" w:hAnsiTheme="minorEastAsia" w:eastAsiaTheme="minorEastAsia"/>
          <w:b/>
          <w:bCs/>
          <w:color w:val="auto"/>
          <w:sz w:val="24"/>
          <w:szCs w:val="24"/>
          <w:highlight w:val="none"/>
        </w:rPr>
        <w:t>三、质疑事项具体内容</w:t>
      </w:r>
      <w:bookmarkEnd w:id="109"/>
    </w:p>
    <w:p w14:paraId="7B7BAEC8">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2ED1B9A">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D48C0FA">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B203574">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AF55B8">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A783EA0">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2073E3E">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AEB9A41">
      <w:pPr>
        <w:adjustRightInd w:val="0"/>
        <w:snapToGrid w:val="0"/>
        <w:spacing w:line="360" w:lineRule="auto"/>
        <w:rPr>
          <w:rFonts w:hint="eastAsia" w:cs="仿宋" w:asciiTheme="minorEastAsia" w:hAnsiTheme="minorEastAsia" w:eastAsiaTheme="minorEastAsia"/>
          <w:b/>
          <w:bCs/>
          <w:color w:val="auto"/>
          <w:sz w:val="24"/>
          <w:szCs w:val="24"/>
          <w:highlight w:val="none"/>
        </w:rPr>
      </w:pPr>
      <w:bookmarkStart w:id="110" w:name="_Toc17919"/>
      <w:r>
        <w:rPr>
          <w:rFonts w:hint="eastAsia" w:cs="仿宋" w:asciiTheme="minorEastAsia" w:hAnsiTheme="minorEastAsia" w:eastAsiaTheme="minorEastAsia"/>
          <w:b/>
          <w:bCs/>
          <w:color w:val="auto"/>
          <w:sz w:val="24"/>
          <w:szCs w:val="24"/>
          <w:highlight w:val="none"/>
        </w:rPr>
        <w:t>四、与质疑事项相关的质疑请求</w:t>
      </w:r>
      <w:bookmarkEnd w:id="110"/>
    </w:p>
    <w:p w14:paraId="2B897F43">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4E40A66">
      <w:pPr>
        <w:spacing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签字(签字或盖章)：                   公章：                      </w:t>
      </w:r>
    </w:p>
    <w:p w14:paraId="4B6FDBD2">
      <w:pPr>
        <w:spacing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1D50EF4B">
      <w:pPr>
        <w:widowControl/>
        <w:jc w:val="left"/>
        <w:rPr>
          <w:rFonts w:hint="eastAsia"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4F8C838">
      <w:pPr>
        <w:outlineLvl w:val="0"/>
        <w:rPr>
          <w:rFonts w:hint="eastAsia" w:asciiTheme="minorEastAsia" w:hAnsiTheme="minorEastAsia" w:eastAsiaTheme="minorEastAsia"/>
          <w:b/>
          <w:color w:val="auto"/>
          <w:sz w:val="28"/>
          <w:szCs w:val="32"/>
          <w:highlight w:val="none"/>
        </w:rPr>
      </w:pPr>
      <w:bookmarkStart w:id="111" w:name="_Toc2021"/>
      <w:bookmarkStart w:id="112" w:name="_Toc9754"/>
      <w:bookmarkStart w:id="113" w:name="_Toc26836"/>
      <w:r>
        <w:rPr>
          <w:rFonts w:hint="eastAsia" w:asciiTheme="minorEastAsia" w:hAnsiTheme="minorEastAsia" w:eastAsiaTheme="minorEastAsia"/>
          <w:b/>
          <w:color w:val="auto"/>
          <w:sz w:val="28"/>
          <w:szCs w:val="32"/>
          <w:highlight w:val="none"/>
        </w:rPr>
        <w:t>质疑函制作说明：</w:t>
      </w:r>
      <w:bookmarkEnd w:id="111"/>
      <w:bookmarkEnd w:id="112"/>
      <w:bookmarkEnd w:id="113"/>
    </w:p>
    <w:p w14:paraId="1725DA1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222D9F9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B4F626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7E01E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601AB1A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B1E7E9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EAD9F7">
      <w:pPr>
        <w:spacing w:line="360" w:lineRule="auto"/>
        <w:ind w:firstLine="435"/>
        <w:rPr>
          <w:rFonts w:hint="eastAsia" w:asciiTheme="minorEastAsia" w:hAnsiTheme="minorEastAsia" w:eastAsiaTheme="minorEastAsia"/>
          <w:color w:val="auto"/>
          <w:sz w:val="24"/>
          <w:highlight w:val="none"/>
        </w:rPr>
      </w:pPr>
    </w:p>
    <w:p w14:paraId="5BB8CFA4">
      <w:pPr>
        <w:spacing w:line="360" w:lineRule="auto"/>
        <w:ind w:firstLine="435"/>
        <w:rPr>
          <w:rFonts w:hint="eastAsia" w:asciiTheme="minorEastAsia" w:hAnsiTheme="minorEastAsia" w:eastAsiaTheme="minorEastAsia"/>
          <w:color w:val="auto"/>
          <w:sz w:val="24"/>
          <w:highlight w:val="none"/>
        </w:rPr>
      </w:pPr>
    </w:p>
    <w:p w14:paraId="5C02AA88">
      <w:pPr>
        <w:spacing w:line="360" w:lineRule="auto"/>
        <w:ind w:firstLine="435"/>
        <w:rPr>
          <w:rFonts w:hint="eastAsia" w:asciiTheme="minorEastAsia" w:hAnsiTheme="minorEastAsia" w:eastAsiaTheme="minorEastAsia"/>
          <w:color w:val="auto"/>
          <w:sz w:val="24"/>
          <w:highlight w:val="none"/>
        </w:rPr>
      </w:pPr>
    </w:p>
    <w:p w14:paraId="6D550915">
      <w:pPr>
        <w:spacing w:line="360" w:lineRule="auto"/>
        <w:ind w:firstLine="435"/>
        <w:rPr>
          <w:rFonts w:hint="eastAsia" w:asciiTheme="minorEastAsia" w:hAnsiTheme="minorEastAsia" w:eastAsiaTheme="minorEastAsia"/>
          <w:color w:val="auto"/>
          <w:sz w:val="24"/>
          <w:highlight w:val="none"/>
        </w:rPr>
      </w:pPr>
    </w:p>
    <w:p w14:paraId="724A571F">
      <w:pPr>
        <w:spacing w:line="360" w:lineRule="auto"/>
        <w:ind w:firstLine="435"/>
        <w:rPr>
          <w:rFonts w:hint="eastAsia" w:asciiTheme="minorEastAsia" w:hAnsiTheme="minorEastAsia" w:eastAsiaTheme="minorEastAsia"/>
          <w:color w:val="auto"/>
          <w:sz w:val="24"/>
          <w:highlight w:val="none"/>
        </w:rPr>
      </w:pPr>
    </w:p>
    <w:p w14:paraId="28FD4111">
      <w:pPr>
        <w:spacing w:line="360" w:lineRule="auto"/>
        <w:ind w:firstLine="435"/>
        <w:rPr>
          <w:rFonts w:hint="eastAsia" w:asciiTheme="minorEastAsia" w:hAnsiTheme="minorEastAsia" w:eastAsiaTheme="minorEastAsia"/>
          <w:color w:val="auto"/>
          <w:sz w:val="24"/>
          <w:highlight w:val="none"/>
        </w:rPr>
      </w:pPr>
    </w:p>
    <w:p w14:paraId="16B5E5F2">
      <w:pPr>
        <w:spacing w:line="360" w:lineRule="auto"/>
        <w:ind w:firstLine="435"/>
        <w:rPr>
          <w:rFonts w:hint="eastAsia" w:asciiTheme="minorEastAsia" w:hAnsiTheme="minorEastAsia" w:eastAsiaTheme="minorEastAsia"/>
          <w:color w:val="auto"/>
          <w:sz w:val="24"/>
          <w:highlight w:val="none"/>
        </w:rPr>
      </w:pPr>
    </w:p>
    <w:p w14:paraId="5B43344D">
      <w:pPr>
        <w:spacing w:line="360" w:lineRule="auto"/>
        <w:ind w:firstLine="435"/>
        <w:rPr>
          <w:rFonts w:hint="eastAsia" w:asciiTheme="minorEastAsia" w:hAnsiTheme="minorEastAsia" w:eastAsiaTheme="minorEastAsia"/>
          <w:color w:val="auto"/>
          <w:sz w:val="24"/>
          <w:highlight w:val="none"/>
        </w:rPr>
      </w:pPr>
    </w:p>
    <w:p w14:paraId="3C3A6170">
      <w:pPr>
        <w:spacing w:line="360" w:lineRule="auto"/>
        <w:ind w:firstLine="435"/>
        <w:rPr>
          <w:rFonts w:hint="eastAsia" w:asciiTheme="minorEastAsia" w:hAnsiTheme="minorEastAsia" w:eastAsiaTheme="minorEastAsia"/>
          <w:color w:val="auto"/>
          <w:sz w:val="24"/>
          <w:highlight w:val="none"/>
        </w:rPr>
      </w:pPr>
    </w:p>
    <w:p w14:paraId="26B8DC02">
      <w:pPr>
        <w:spacing w:line="360" w:lineRule="auto"/>
        <w:ind w:firstLine="435"/>
        <w:rPr>
          <w:rFonts w:hint="eastAsia" w:asciiTheme="minorEastAsia" w:hAnsiTheme="minorEastAsia" w:eastAsiaTheme="minorEastAsia"/>
          <w:color w:val="auto"/>
          <w:sz w:val="24"/>
          <w:highlight w:val="none"/>
        </w:rPr>
      </w:pPr>
    </w:p>
    <w:p w14:paraId="1CDCF5CC">
      <w:pPr>
        <w:spacing w:line="360" w:lineRule="auto"/>
        <w:ind w:firstLine="435"/>
        <w:rPr>
          <w:rFonts w:hint="eastAsia" w:asciiTheme="minorEastAsia" w:hAnsiTheme="minorEastAsia" w:eastAsiaTheme="minorEastAsia"/>
          <w:color w:val="auto"/>
          <w:sz w:val="24"/>
          <w:highlight w:val="none"/>
        </w:rPr>
      </w:pPr>
    </w:p>
    <w:p w14:paraId="63CE4802">
      <w:pPr>
        <w:spacing w:line="360" w:lineRule="auto"/>
        <w:ind w:firstLine="435"/>
        <w:rPr>
          <w:rFonts w:hint="eastAsia" w:asciiTheme="minorEastAsia" w:hAnsiTheme="minorEastAsia" w:eastAsiaTheme="minorEastAsia"/>
          <w:color w:val="auto"/>
          <w:sz w:val="24"/>
          <w:highlight w:val="none"/>
        </w:rPr>
      </w:pPr>
    </w:p>
    <w:p w14:paraId="7BAD57B4">
      <w:pPr>
        <w:spacing w:line="360" w:lineRule="auto"/>
        <w:ind w:firstLine="435"/>
        <w:rPr>
          <w:rFonts w:hint="eastAsia" w:asciiTheme="minorEastAsia" w:hAnsiTheme="minorEastAsia" w:eastAsiaTheme="minorEastAsia"/>
          <w:color w:val="auto"/>
          <w:sz w:val="24"/>
          <w:highlight w:val="none"/>
        </w:rPr>
      </w:pPr>
    </w:p>
    <w:p w14:paraId="440A9292">
      <w:pPr>
        <w:spacing w:line="360" w:lineRule="auto"/>
        <w:ind w:firstLine="435"/>
        <w:rPr>
          <w:rFonts w:hint="eastAsia" w:asciiTheme="minorEastAsia" w:hAnsiTheme="minorEastAsia" w:eastAsiaTheme="minorEastAsia"/>
          <w:color w:val="auto"/>
          <w:sz w:val="24"/>
          <w:highlight w:val="none"/>
        </w:rPr>
      </w:pPr>
    </w:p>
    <w:p w14:paraId="64A5C061">
      <w:pPr>
        <w:spacing w:line="360" w:lineRule="auto"/>
        <w:ind w:firstLine="435"/>
        <w:rPr>
          <w:rFonts w:hint="eastAsia" w:asciiTheme="minorEastAsia" w:hAnsiTheme="minorEastAsia" w:eastAsiaTheme="minorEastAsia"/>
          <w:color w:val="auto"/>
          <w:sz w:val="24"/>
          <w:highlight w:val="none"/>
        </w:rPr>
      </w:pPr>
    </w:p>
    <w:p w14:paraId="45D2452B">
      <w:pPr>
        <w:spacing w:line="360" w:lineRule="auto"/>
        <w:ind w:firstLine="435"/>
        <w:rPr>
          <w:rFonts w:hint="eastAsia" w:asciiTheme="minorEastAsia" w:hAnsiTheme="minorEastAsia" w:eastAsiaTheme="minorEastAsia"/>
          <w:color w:val="auto"/>
          <w:sz w:val="24"/>
          <w:highlight w:val="none"/>
        </w:rPr>
      </w:pPr>
    </w:p>
    <w:p w14:paraId="2EB46D18">
      <w:pPr>
        <w:spacing w:line="360" w:lineRule="auto"/>
        <w:ind w:firstLine="435"/>
        <w:rPr>
          <w:rFonts w:hint="eastAsia" w:asciiTheme="minorEastAsia" w:hAnsiTheme="minorEastAsia" w:eastAsiaTheme="minorEastAsia"/>
          <w:color w:val="auto"/>
          <w:sz w:val="24"/>
          <w:highlight w:val="none"/>
        </w:rPr>
      </w:pPr>
    </w:p>
    <w:p w14:paraId="5ACA0FD4">
      <w:pPr>
        <w:spacing w:line="360" w:lineRule="auto"/>
        <w:ind w:firstLine="435"/>
        <w:rPr>
          <w:rFonts w:hint="eastAsia" w:asciiTheme="minorEastAsia" w:hAnsiTheme="minorEastAsia" w:eastAsiaTheme="minorEastAsia"/>
          <w:color w:val="auto"/>
          <w:sz w:val="24"/>
          <w:highlight w:val="none"/>
        </w:rPr>
      </w:pPr>
    </w:p>
    <w:p w14:paraId="0877AC2B">
      <w:pPr>
        <w:keepNext/>
        <w:keepLines/>
        <w:spacing w:before="200" w:after="200" w:line="600" w:lineRule="exact"/>
        <w:outlineLvl w:val="0"/>
        <w:rPr>
          <w:rFonts w:hint="eastAsia" w:ascii="宋体" w:hAnsi="宋体" w:eastAsia="宋体" w:cs="宋体"/>
          <w:b/>
          <w:bCs/>
          <w:color w:val="auto"/>
          <w:kern w:val="44"/>
          <w:sz w:val="32"/>
          <w:szCs w:val="32"/>
          <w:highlight w:val="none"/>
        </w:rPr>
      </w:pPr>
      <w:bookmarkStart w:id="114" w:name="OLE_LINK144"/>
      <w:bookmarkStart w:id="115" w:name="_Toc4221"/>
      <w:r>
        <w:rPr>
          <w:rFonts w:hint="eastAsia" w:ascii="宋体" w:hAnsi="宋体" w:eastAsia="宋体" w:cs="宋体"/>
          <w:b/>
          <w:bCs/>
          <w:color w:val="auto"/>
          <w:kern w:val="44"/>
          <w:sz w:val="32"/>
          <w:szCs w:val="32"/>
          <w:highlight w:val="none"/>
          <w:lang w:bidi="ar"/>
        </w:rPr>
        <w:t>附件1 关于联合惩戒失信行为加强信用查询管理的通知</w:t>
      </w:r>
      <w:bookmarkEnd w:id="114"/>
      <w:bookmarkEnd w:id="115"/>
    </w:p>
    <w:p w14:paraId="7214B33A">
      <w:pPr>
        <w:autoSpaceDE w:val="0"/>
        <w:adjustRightInd w:val="0"/>
        <w:snapToGrid w:val="0"/>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一、失信行为联合惩戒的范围和查询渠道</w:t>
      </w:r>
    </w:p>
    <w:p w14:paraId="1F2CAE76">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在我市公共资源交易活动中对存在下列失信行为的投标人、法定代表人及其项目经理（建造师）实施联合惩戒，禁止参与我市公共资源交易活动。</w:t>
      </w:r>
    </w:p>
    <w:p w14:paraId="102D980C">
      <w:pPr>
        <w:autoSpaceDE w:val="0"/>
        <w:adjustRightInd w:val="0"/>
        <w:snapToGrid w:val="0"/>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（一）工程建设项目</w:t>
      </w:r>
    </w:p>
    <w:p w14:paraId="402EBA29">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1、“信用中国”网站（www.creditchina.gov.cn）查询</w:t>
      </w:r>
      <w:bookmarkStart w:id="116" w:name="OLE_LINK93"/>
      <w:bookmarkEnd w:id="116"/>
      <w:bookmarkStart w:id="117" w:name="OLE_LINK92"/>
      <w:bookmarkEnd w:id="117"/>
      <w:bookmarkStart w:id="118" w:name="OLE_LINK91"/>
      <w:bookmarkEnd w:id="118"/>
      <w:bookmarkStart w:id="119" w:name="OLE_LINK103"/>
      <w:r>
        <w:rPr>
          <w:rFonts w:hint="eastAsia" w:ascii="宋体" w:hAnsi="宋体" w:eastAsia="宋体" w:cs="宋体"/>
          <w:color w:val="auto"/>
          <w:sz w:val="24"/>
          <w:szCs w:val="24"/>
          <w:highlight w:val="none"/>
          <w:lang w:bidi="ar"/>
        </w:rPr>
        <w:t>投标人、法定代表人及其项目经理(建造师)</w:t>
      </w:r>
      <w:bookmarkEnd w:id="119"/>
      <w:r>
        <w:rPr>
          <w:rFonts w:hint="eastAsia" w:ascii="宋体" w:hAnsi="宋体" w:eastAsia="宋体" w:cs="宋体"/>
          <w:color w:val="auto"/>
          <w:sz w:val="24"/>
          <w:szCs w:val="24"/>
          <w:highlight w:val="none"/>
          <w:lang w:bidi="ar"/>
        </w:rPr>
        <w:t>以下失信行为：</w:t>
      </w:r>
    </w:p>
    <w:p w14:paraId="5BA87A67">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bookmarkStart w:id="120" w:name="OLE_LINK119"/>
      <w:bookmarkEnd w:id="120"/>
      <w:bookmarkStart w:id="121" w:name="OLE_LINK87"/>
      <w:bookmarkEnd w:id="121"/>
      <w:bookmarkStart w:id="122" w:name="OLE_LINK86"/>
      <w:bookmarkEnd w:id="122"/>
      <w:bookmarkStart w:id="123" w:name="OLE_LINK94"/>
      <w:r>
        <w:rPr>
          <w:rFonts w:hint="eastAsia" w:ascii="宋体" w:hAnsi="宋体" w:eastAsia="宋体" w:cs="宋体"/>
          <w:color w:val="auto"/>
          <w:sz w:val="24"/>
          <w:szCs w:val="24"/>
          <w:highlight w:val="none"/>
          <w:lang w:bidi="ar"/>
        </w:rPr>
        <w:t>①被列入“失信被执行人”的;</w:t>
      </w:r>
      <w:bookmarkEnd w:id="123"/>
    </w:p>
    <w:p w14:paraId="696CB481">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②被列入</w:t>
      </w:r>
      <w:bookmarkStart w:id="124" w:name="OLE_LINK115"/>
      <w:bookmarkEnd w:id="124"/>
      <w:bookmarkStart w:id="125" w:name="OLE_LINK116"/>
      <w:bookmarkEnd w:id="125"/>
      <w:bookmarkStart w:id="126" w:name="OLE_LINK117"/>
      <w:bookmarkEnd w:id="126"/>
      <w:bookmarkStart w:id="127" w:name="OLE_LINK118"/>
      <w:r>
        <w:rPr>
          <w:rFonts w:hint="eastAsia" w:ascii="宋体" w:hAnsi="宋体" w:eastAsia="宋体" w:cs="宋体"/>
          <w:color w:val="auto"/>
          <w:sz w:val="24"/>
          <w:szCs w:val="24"/>
          <w:highlight w:val="none"/>
          <w:lang w:bidi="ar"/>
        </w:rPr>
        <w:t>“重大税收违法失信主体”</w:t>
      </w:r>
      <w:bookmarkEnd w:id="127"/>
      <w:r>
        <w:rPr>
          <w:rFonts w:hint="eastAsia" w:ascii="宋体" w:hAnsi="宋体" w:eastAsia="宋体" w:cs="宋体"/>
          <w:color w:val="auto"/>
          <w:sz w:val="24"/>
          <w:szCs w:val="24"/>
          <w:highlight w:val="none"/>
          <w:lang w:bidi="ar"/>
        </w:rPr>
        <w:t>的；</w:t>
      </w:r>
    </w:p>
    <w:p w14:paraId="0A55B912">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③被列入“拖欠</w:t>
      </w:r>
      <w:bookmarkStart w:id="128" w:name="OLE_LINK85"/>
      <w:bookmarkEnd w:id="128"/>
      <w:bookmarkStart w:id="129" w:name="OLE_LINK84"/>
      <w:r>
        <w:rPr>
          <w:rFonts w:hint="eastAsia" w:ascii="宋体" w:hAnsi="宋体" w:eastAsia="宋体" w:cs="宋体"/>
          <w:color w:val="auto"/>
          <w:sz w:val="24"/>
          <w:szCs w:val="24"/>
          <w:highlight w:val="none"/>
          <w:lang w:bidi="ar"/>
        </w:rPr>
        <w:t>农民工工资失信联合惩戒对象</w:t>
      </w:r>
      <w:bookmarkEnd w:id="129"/>
      <w:r>
        <w:rPr>
          <w:rFonts w:hint="eastAsia" w:ascii="宋体" w:hAnsi="宋体" w:eastAsia="宋体" w:cs="宋体"/>
          <w:color w:val="auto"/>
          <w:sz w:val="24"/>
          <w:szCs w:val="24"/>
          <w:highlight w:val="none"/>
          <w:lang w:bidi="ar"/>
        </w:rPr>
        <w:t>名单”的；</w:t>
      </w:r>
    </w:p>
    <w:p w14:paraId="15A992DA">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④被列入 “严重失信主体名单”的；</w:t>
      </w:r>
    </w:p>
    <w:p w14:paraId="25736839">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⑤在“信用中国”网站上披露的仍在公示期的严重失信行为(具体行为类别及判定依据见附件2)的。</w:t>
      </w:r>
    </w:p>
    <w:p w14:paraId="577220EE">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bookmarkStart w:id="130" w:name="OLE_LINK130"/>
      <w:r>
        <w:rPr>
          <w:rFonts w:hint="eastAsia" w:ascii="宋体" w:hAnsi="宋体" w:eastAsia="宋体" w:cs="宋体"/>
          <w:color w:val="auto"/>
          <w:sz w:val="24"/>
          <w:szCs w:val="24"/>
          <w:highlight w:val="none"/>
          <w:lang w:bidi="ar"/>
        </w:rPr>
        <w:t>国家企业信用信息公示系统网站</w:t>
      </w:r>
      <w:bookmarkEnd w:id="130"/>
      <w:r>
        <w:rPr>
          <w:rFonts w:hint="eastAsia" w:ascii="宋体" w:hAnsi="宋体" w:eastAsia="宋体" w:cs="宋体"/>
          <w:color w:val="auto"/>
          <w:sz w:val="24"/>
          <w:szCs w:val="24"/>
          <w:highlight w:val="none"/>
          <w:lang w:bidi="ar"/>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Style w:val="36"/>
          <w:rFonts w:hint="eastAsia" w:ascii="宋体" w:hAnsi="宋体" w:eastAsia="宋体" w:cs="宋体"/>
          <w:color w:val="auto"/>
          <w:sz w:val="24"/>
          <w:szCs w:val="24"/>
          <w:highlight w:val="none"/>
        </w:rPr>
        <w:t>www.gsxt.gov.cn）</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查询投标人以下失信行为：</w:t>
      </w:r>
    </w:p>
    <w:p w14:paraId="50663C93">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bookmarkStart w:id="131" w:name="OLE_LINK121"/>
      <w:bookmarkEnd w:id="131"/>
      <w:bookmarkStart w:id="132" w:name="OLE_LINK120"/>
      <w:bookmarkEnd w:id="132"/>
      <w:bookmarkStart w:id="133" w:name="OLE_LINK122"/>
      <w:r>
        <w:rPr>
          <w:rFonts w:hint="eastAsia" w:ascii="宋体" w:hAnsi="宋体" w:eastAsia="宋体" w:cs="宋体"/>
          <w:color w:val="auto"/>
          <w:sz w:val="24"/>
          <w:szCs w:val="24"/>
          <w:highlight w:val="none"/>
          <w:lang w:bidi="ar"/>
        </w:rPr>
        <w:t>①被列入“经营异常名录”或者“严重违法失信名单”的。</w:t>
      </w:r>
      <w:bookmarkEnd w:id="133"/>
    </w:p>
    <w:p w14:paraId="7D2EC5BD">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3、由</w:t>
      </w:r>
      <w:r>
        <w:rPr>
          <w:rFonts w:hint="eastAsia" w:ascii="宋体" w:hAnsi="宋体" w:eastAsia="宋体" w:cs="宋体"/>
          <w:color w:val="auto"/>
          <w:kern w:val="0"/>
          <w:sz w:val="24"/>
          <w:szCs w:val="24"/>
          <w:highlight w:val="none"/>
          <w:lang w:bidi="ar"/>
        </w:rPr>
        <w:t>投标人、法定代表人及其项目经理(建造师)</w:t>
      </w:r>
      <w:r>
        <w:rPr>
          <w:rFonts w:hint="eastAsia" w:ascii="宋体" w:hAnsi="宋体" w:eastAsia="宋体" w:cs="宋体"/>
          <w:color w:val="auto"/>
          <w:sz w:val="24"/>
          <w:szCs w:val="24"/>
          <w:highlight w:val="none"/>
          <w:lang w:bidi="ar"/>
        </w:rPr>
        <w:t>进行承诺，不进行现场网上信用查询的失信行为：</w:t>
      </w:r>
    </w:p>
    <w:p w14:paraId="0664EAE9">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bookmarkStart w:id="134" w:name="OLE_LINK123"/>
      <w:bookmarkEnd w:id="134"/>
      <w:bookmarkStart w:id="135" w:name="OLE_LINK124"/>
      <w:r>
        <w:rPr>
          <w:rFonts w:hint="eastAsia" w:ascii="宋体" w:hAnsi="宋体" w:eastAsia="宋体" w:cs="宋体"/>
          <w:color w:val="auto"/>
          <w:sz w:val="24"/>
          <w:szCs w:val="24"/>
          <w:highlight w:val="none"/>
          <w:lang w:bidi="ar"/>
        </w:rPr>
        <w:t>①</w:t>
      </w:r>
      <w:bookmarkEnd w:id="135"/>
      <w:r>
        <w:rPr>
          <w:rFonts w:hint="eastAsia" w:ascii="宋体" w:hAnsi="宋体" w:eastAsia="宋体" w:cs="宋体"/>
          <w:color w:val="auto"/>
          <w:sz w:val="24"/>
          <w:szCs w:val="24"/>
          <w:highlight w:val="none"/>
          <w:lang w:bidi="ar"/>
        </w:rPr>
        <w:t>前三年有行贿犯罪行为的单位和个人；</w:t>
      </w:r>
    </w:p>
    <w:p w14:paraId="68949AE0">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②被滁州市县两级公管部门取消在一定期限内的投标资格且在取消期限内的；</w:t>
      </w:r>
    </w:p>
    <w:p w14:paraId="28065FFD">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③被滁州市县两级各行业主管部门取消在一定期限内的投标资格且在取消期限内的；</w:t>
      </w:r>
    </w:p>
    <w:p w14:paraId="179D33DF">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④因拖欠农民工工资被</w:t>
      </w:r>
      <w:bookmarkStart w:id="136" w:name="OLE_LINK108"/>
      <w:bookmarkEnd w:id="136"/>
      <w:bookmarkStart w:id="137" w:name="OLE_LINK107"/>
      <w:r>
        <w:rPr>
          <w:rFonts w:hint="eastAsia" w:ascii="宋体" w:hAnsi="宋体" w:eastAsia="宋体" w:cs="宋体"/>
          <w:color w:val="auto"/>
          <w:sz w:val="24"/>
          <w:szCs w:val="24"/>
          <w:highlight w:val="none"/>
          <w:lang w:bidi="ar"/>
        </w:rPr>
        <w:t>县级及以上有关行政主管部门限制投标资格且在限制期限内的</w:t>
      </w:r>
      <w:bookmarkEnd w:id="137"/>
      <w:r>
        <w:rPr>
          <w:rFonts w:hint="eastAsia" w:ascii="宋体" w:hAnsi="宋体" w:eastAsia="宋体" w:cs="宋体"/>
          <w:color w:val="auto"/>
          <w:sz w:val="24"/>
          <w:szCs w:val="24"/>
          <w:highlight w:val="none"/>
          <w:lang w:bidi="ar"/>
        </w:rPr>
        <w:t>；</w:t>
      </w:r>
    </w:p>
    <w:p w14:paraId="04DBA604">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797C9D2C">
      <w:pPr>
        <w:autoSpaceDE w:val="0"/>
        <w:adjustRightInd w:val="0"/>
        <w:snapToGrid w:val="0"/>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（二）政府采购项目</w:t>
      </w:r>
    </w:p>
    <w:p w14:paraId="3CA6AA41">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1、“信用中国”网站（</w:t>
      </w:r>
      <w:r>
        <w:rPr>
          <w:rFonts w:hint="eastAsia" w:ascii="宋体" w:hAnsi="宋体" w:eastAsia="宋体" w:cs="宋体"/>
          <w:color w:val="auto"/>
          <w:sz w:val="24"/>
          <w:szCs w:val="24"/>
          <w:highlight w:val="none"/>
          <w:u w:val="single"/>
          <w:lang w:bidi="ar"/>
        </w:rPr>
        <w:t>www.creditchina.gov.cn</w:t>
      </w:r>
      <w:r>
        <w:rPr>
          <w:rFonts w:hint="eastAsia" w:ascii="宋体" w:hAnsi="宋体" w:eastAsia="宋体" w:cs="宋体"/>
          <w:color w:val="auto"/>
          <w:sz w:val="24"/>
          <w:szCs w:val="24"/>
          <w:highlight w:val="none"/>
          <w:lang w:bidi="ar"/>
        </w:rPr>
        <w:t>）查询供应商、法定代表人及其项目负责人以下失信行为：</w:t>
      </w:r>
    </w:p>
    <w:p w14:paraId="60DE5076">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①被列入“失信被执行人”的;</w:t>
      </w:r>
    </w:p>
    <w:p w14:paraId="4BC19855">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②被列入“重大税收违法失信主体”的；</w:t>
      </w:r>
    </w:p>
    <w:p w14:paraId="5CFDCA12">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③被列入“拖欠农民工工资失信联合惩戒对象名单”的；</w:t>
      </w:r>
    </w:p>
    <w:p w14:paraId="0F3E0289">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④被列入 “严重失信主体名单”的；</w:t>
      </w:r>
    </w:p>
    <w:p w14:paraId="58F40E1F">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⑤在“信用中国”网站上披露的仍在公示期的严重失信行为(具体行为类别及判定依据见附件2)的。</w:t>
      </w:r>
    </w:p>
    <w:p w14:paraId="25CE98A0">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2、国家企业信用信息公示系统网站（</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Style w:val="36"/>
          <w:rFonts w:hint="eastAsia" w:ascii="宋体" w:hAnsi="宋体" w:eastAsia="宋体" w:cs="宋体"/>
          <w:color w:val="auto"/>
          <w:sz w:val="24"/>
          <w:szCs w:val="24"/>
          <w:highlight w:val="none"/>
        </w:rPr>
        <w:t>www.gsxt.gov.cn）</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查询供应商以下失信行为：</w:t>
      </w:r>
    </w:p>
    <w:p w14:paraId="01C1F20B">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w:t>
      </w:r>
      <w:bookmarkStart w:id="138" w:name="OLE_LINK102"/>
      <w:bookmarkEnd w:id="138"/>
      <w:bookmarkStart w:id="139" w:name="OLE_LINK100"/>
      <w:bookmarkEnd w:id="139"/>
      <w:bookmarkStart w:id="140" w:name="OLE_LINK101"/>
      <w:r>
        <w:rPr>
          <w:rFonts w:hint="eastAsia" w:ascii="宋体" w:hAnsi="宋体" w:eastAsia="宋体" w:cs="宋体"/>
          <w:color w:val="auto"/>
          <w:sz w:val="24"/>
          <w:szCs w:val="24"/>
          <w:highlight w:val="none"/>
          <w:lang w:bidi="ar"/>
        </w:rPr>
        <w:t>被列入“经营异常名录”或者“严重违法失信名单”的</w:t>
      </w:r>
      <w:bookmarkEnd w:id="140"/>
      <w:r>
        <w:rPr>
          <w:rFonts w:hint="eastAsia" w:ascii="宋体" w:hAnsi="宋体" w:eastAsia="宋体" w:cs="宋体"/>
          <w:color w:val="auto"/>
          <w:sz w:val="24"/>
          <w:szCs w:val="24"/>
          <w:highlight w:val="none"/>
          <w:lang w:bidi="ar"/>
        </w:rPr>
        <w:t>。</w:t>
      </w:r>
    </w:p>
    <w:p w14:paraId="086F4127">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3、中国政府采购网站（</w:t>
      </w:r>
      <w:bookmarkStart w:id="141" w:name="OLE_LINK95"/>
      <w:bookmarkEnd w:id="141"/>
      <w:r>
        <w:rPr>
          <w:rFonts w:hint="eastAsia" w:ascii="宋体" w:hAnsi="宋体" w:eastAsia="宋体" w:cs="宋体"/>
          <w:color w:val="auto"/>
          <w:szCs w:val="21"/>
          <w:highlight w:val="none"/>
          <w:lang w:bidi="ar"/>
        </w:rPr>
        <w:fldChar w:fldCharType="begin"/>
      </w:r>
      <w:r>
        <w:rPr>
          <w:rFonts w:hint="eastAsia" w:ascii="宋体" w:hAnsi="宋体" w:eastAsia="宋体" w:cs="宋体"/>
          <w:color w:val="auto"/>
          <w:szCs w:val="21"/>
          <w:highlight w:val="none"/>
          <w:lang w:bidi="ar"/>
        </w:rPr>
        <w:instrText xml:space="preserve"> HYPERLINK "http://www.ccgp.gov.cn" </w:instrText>
      </w:r>
      <w:r>
        <w:rPr>
          <w:rFonts w:hint="eastAsia" w:ascii="宋体" w:hAnsi="宋体" w:eastAsia="宋体" w:cs="宋体"/>
          <w:color w:val="auto"/>
          <w:szCs w:val="21"/>
          <w:highlight w:val="none"/>
          <w:lang w:bidi="ar"/>
        </w:rPr>
        <w:fldChar w:fldCharType="separate"/>
      </w:r>
      <w:r>
        <w:rPr>
          <w:rStyle w:val="36"/>
          <w:rFonts w:hint="eastAsia" w:ascii="宋体" w:hAnsi="宋体" w:eastAsia="宋体" w:cs="宋体"/>
          <w:color w:val="auto"/>
          <w:sz w:val="24"/>
          <w:szCs w:val="24"/>
          <w:highlight w:val="none"/>
        </w:rPr>
        <w:t>www.ccgp.gov.cn</w:t>
      </w:r>
      <w:r>
        <w:rPr>
          <w:rFonts w:hint="eastAsia" w:ascii="宋体" w:hAnsi="宋体" w:eastAsia="宋体" w:cs="宋体"/>
          <w:color w:val="auto"/>
          <w:szCs w:val="21"/>
          <w:highlight w:val="none"/>
          <w:lang w:bidi="ar"/>
        </w:rPr>
        <w:fldChar w:fldCharType="end"/>
      </w:r>
      <w:r>
        <w:rPr>
          <w:rFonts w:hint="eastAsia" w:ascii="宋体" w:hAnsi="宋体" w:eastAsia="宋体" w:cs="宋体"/>
          <w:color w:val="auto"/>
          <w:sz w:val="24"/>
          <w:szCs w:val="24"/>
          <w:highlight w:val="none"/>
          <w:lang w:bidi="ar"/>
        </w:rPr>
        <w:t>）查询以下失信行为：</w:t>
      </w:r>
    </w:p>
    <w:p w14:paraId="2F232EA4">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w:t>
      </w:r>
      <w:bookmarkStart w:id="142" w:name="OLE_LINK105"/>
      <w:bookmarkEnd w:id="142"/>
      <w:bookmarkStart w:id="143" w:name="OLE_LINK106"/>
      <w:bookmarkEnd w:id="143"/>
      <w:bookmarkStart w:id="144" w:name="OLE_LINK104"/>
      <w:r>
        <w:rPr>
          <w:rFonts w:hint="eastAsia" w:ascii="宋体" w:hAnsi="宋体" w:eastAsia="宋体" w:cs="宋体"/>
          <w:color w:val="auto"/>
          <w:sz w:val="24"/>
          <w:szCs w:val="24"/>
          <w:highlight w:val="none"/>
          <w:lang w:bidi="ar"/>
        </w:rPr>
        <w:t>被列入“政府采购严重违法失信行为信息记录”的</w:t>
      </w:r>
      <w:bookmarkEnd w:id="144"/>
      <w:r>
        <w:rPr>
          <w:rFonts w:hint="eastAsia" w:ascii="宋体" w:hAnsi="宋体" w:eastAsia="宋体" w:cs="宋体"/>
          <w:color w:val="auto"/>
          <w:sz w:val="24"/>
          <w:szCs w:val="24"/>
          <w:highlight w:val="none"/>
          <w:lang w:bidi="ar"/>
        </w:rPr>
        <w:t>。</w:t>
      </w:r>
    </w:p>
    <w:p w14:paraId="73C12042">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4、由竞争主体进行承诺，不进行现场网上信用查询的失信行为：</w:t>
      </w:r>
    </w:p>
    <w:p w14:paraId="52FF7B00">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①前三年有行贿犯罪行为的单位和个人。</w:t>
      </w:r>
    </w:p>
    <w:p w14:paraId="2E1E8A57">
      <w:pPr>
        <w:autoSpaceDE w:val="0"/>
        <w:adjustRightInd w:val="0"/>
        <w:snapToGrid w:val="0"/>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二、在开评标活动中的查询程序</w:t>
      </w:r>
    </w:p>
    <w:p w14:paraId="64ADEF30">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7FBDFE7E">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36D923DB">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3、项目单位及其委托的代理机构应当做好信用查询结果截图和记录留存。</w:t>
      </w:r>
    </w:p>
    <w:p w14:paraId="43415A9B">
      <w:pPr>
        <w:autoSpaceDE w:val="0"/>
        <w:adjustRightInd w:val="0"/>
        <w:snapToGrid w:val="0"/>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三、相关要求</w:t>
      </w:r>
    </w:p>
    <w:p w14:paraId="3D3DC22D">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1、参与公共资源交易活动的竞争主体根据上述范围查询的内容进行自查并承诺，出具《诚信投标承诺书》（诚信投标承诺书包括但不限于上述自查并承诺内容）并注明承诺日期（投标截止时间前5日内）。</w:t>
      </w:r>
    </w:p>
    <w:p w14:paraId="054F1856">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46654281">
      <w:pPr>
        <w:wordWrap w:val="0"/>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color w:val="auto"/>
          <w:highlight w:val="none"/>
        </w:rPr>
        <w:fldChar w:fldCharType="begin"/>
      </w:r>
      <w:r>
        <w:rPr>
          <w:color w:val="auto"/>
          <w:highlight w:val="none"/>
        </w:rPr>
        <w:instrText xml:space="preserve"> HYPERLINK "https://credit.ah.gov.cn/xinyong-fuwu/xvbahv/index.html" </w:instrText>
      </w:r>
      <w:r>
        <w:rPr>
          <w:color w:val="auto"/>
          <w:highlight w:val="none"/>
        </w:rPr>
        <w:fldChar w:fldCharType="separate"/>
      </w:r>
      <w:r>
        <w:rPr>
          <w:rStyle w:val="36"/>
          <w:rFonts w:hint="eastAsia" w:ascii="宋体" w:hAnsi="宋体" w:eastAsia="宋体" w:cs="宋体"/>
          <w:color w:val="auto"/>
          <w:sz w:val="24"/>
          <w:szCs w:val="24"/>
          <w:highlight w:val="none"/>
        </w:rPr>
        <w:t>https://credit.ah.gov.cn/xinyong-fuwu/xvbahv/index.html</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35B52F99">
      <w:pPr>
        <w:autoSpaceDE w:val="0"/>
        <w:adjustRightInd w:val="0"/>
        <w:snapToGrid w:val="0"/>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2、“信用中国”查询的严重失信行为判定依据为各行业主管部门下发的联合惩戒文件中规定的行为（按附件2执行）。</w:t>
      </w:r>
    </w:p>
    <w:p w14:paraId="02EFC72B">
      <w:pPr>
        <w:autoSpaceDE w:val="0"/>
        <w:adjustRightInd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3、资格预审的项目以递交资格预审申请文件截止时间查询为准；资格后审的项目以递交投标文件截止时间查询为准。</w:t>
      </w:r>
    </w:p>
    <w:p w14:paraId="43B87425">
      <w:pPr>
        <w:ind w:right="96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164C79C7">
      <w:pPr>
        <w:ind w:right="96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0EE8729B">
      <w:pPr>
        <w:ind w:right="96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06815757">
      <w:pPr>
        <w:ind w:right="96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2B004C78">
      <w:pPr>
        <w:keepNext/>
        <w:keepLines/>
        <w:spacing w:before="200" w:after="200" w:line="600" w:lineRule="exact"/>
        <w:outlineLvl w:val="0"/>
        <w:rPr>
          <w:rFonts w:hint="eastAsia" w:ascii="宋体" w:hAnsi="宋体" w:eastAsia="宋体" w:cs="宋体"/>
          <w:b/>
          <w:bCs/>
          <w:color w:val="auto"/>
          <w:kern w:val="44"/>
          <w:sz w:val="32"/>
          <w:szCs w:val="32"/>
          <w:highlight w:val="none"/>
        </w:rPr>
      </w:pPr>
      <w:bookmarkStart w:id="145" w:name="_Toc4556"/>
      <w:bookmarkEnd w:id="145"/>
      <w:bookmarkStart w:id="146" w:name="_Toc24106"/>
      <w:bookmarkStart w:id="147" w:name="_Toc9040"/>
      <w:r>
        <w:rPr>
          <w:rFonts w:hint="eastAsia" w:ascii="宋体" w:hAnsi="宋体" w:eastAsia="宋体" w:cs="宋体"/>
          <w:b/>
          <w:bCs/>
          <w:color w:val="auto"/>
          <w:kern w:val="44"/>
          <w:sz w:val="32"/>
          <w:szCs w:val="32"/>
          <w:highlight w:val="none"/>
          <w:lang w:bidi="ar"/>
        </w:rPr>
        <w:t>附件2 “信用中国”查询的严重失信行为类别及判定依据</w:t>
      </w:r>
      <w:bookmarkEnd w:id="146"/>
      <w:bookmarkEnd w:id="147"/>
    </w:p>
    <w:p w14:paraId="45826359">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“信用中国”查询的严重失信行为判定依据为各行业主管部门下发的联合惩戒文件中规定的行为。下面将部分类别的严重失信行为列举如下：</w:t>
      </w:r>
    </w:p>
    <w:p w14:paraId="362A194F">
      <w:pPr>
        <w:autoSpaceDE w:val="0"/>
        <w:adjustRightInd w:val="0"/>
        <w:snapToGrid w:val="0"/>
        <w:spacing w:line="48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一、安全生产领域严重失信行为：</w:t>
      </w:r>
    </w:p>
    <w:p w14:paraId="0819CC96">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（一）下列发生生产安全事故的生产经营单位及其有关人员应当列入严重失信主体名单：</w:t>
      </w:r>
    </w:p>
    <w:p w14:paraId="60CA44A5">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1、发生特别重大、重大生产安全事故的生产经营单位及其主要负责人，以及经调查认定对该事故发生负有责任，应当列入名单的其他单位和人员；</w:t>
      </w:r>
    </w:p>
    <w:p w14:paraId="4AB869F3">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2、12个月内累计发生2起以上较大生产安全事故的生产经营单位及其主要负责人；</w:t>
      </w:r>
    </w:p>
    <w:p w14:paraId="1FC55A5C">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3、发生生产安全事故，情节特别严重、影响特别恶劣，依照《中华人民共和国安全生产法》第一百一十四条的规定被处以罚款数额2倍以上5倍以下罚款的生产经营单位及其主要负责人；</w:t>
      </w:r>
    </w:p>
    <w:p w14:paraId="71282F0B">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4、瞒报、谎报生产安全事故的生产经营单位及其有关责任人员；</w:t>
      </w:r>
    </w:p>
    <w:p w14:paraId="2DA1BEF8">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5、发生生产安全事故后，不立即组织抢救或者在事故调查处理期间擅离职守或者逃匿的生产经营单位主要负责人。</w:t>
      </w:r>
    </w:p>
    <w:p w14:paraId="3128013E">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（二）下列未发生生产安全事故，但因安全生产违法行为，受到行政处罚的生产经营单位或者机构及其有关人员，应当列入严重失信主体名单：</w:t>
      </w:r>
    </w:p>
    <w:p w14:paraId="66C4767F">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1、未依法取得安全生产相关许可或者许可被暂扣、吊销期间从事相关生产经营活动的生产经营单位及其主要负责人；</w:t>
      </w:r>
    </w:p>
    <w:p w14:paraId="1A02D136">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2、承担安全评价、认证、检测、检验职责的机构及其直接责任人员租借资质、挂靠、出具虚假报告或者证书的；</w:t>
      </w:r>
    </w:p>
    <w:p w14:paraId="7920CDBE">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3、在应急管理部门作出行政处罚后，有执行能力拒不执行或者逃避执行的生产经营单位及其主要负责人；</w:t>
      </w:r>
    </w:p>
    <w:p w14:paraId="7A81FD03">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4、其他违反安全生产法律法规受到行政处罚，且性质恶劣、情节严重的。</w:t>
      </w:r>
    </w:p>
    <w:p w14:paraId="67D45A31">
      <w:pPr>
        <w:autoSpaceDE w:val="0"/>
        <w:adjustRightInd w:val="0"/>
        <w:snapToGrid w:val="0"/>
        <w:spacing w:line="48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依据：《安全生产严重失信主体名单管理办法》（2023年8月8日应急管理部令第11号）</w:t>
      </w:r>
    </w:p>
    <w:p w14:paraId="5894FE9D">
      <w:pPr>
        <w:autoSpaceDE w:val="0"/>
        <w:adjustRightInd w:val="0"/>
        <w:snapToGrid w:val="0"/>
        <w:spacing w:line="48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二、环境保护领域严重失信行为：</w:t>
      </w:r>
    </w:p>
    <w:p w14:paraId="66F8ADB1">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（一）因为环境违法构成</w:t>
      </w:r>
      <w:r>
        <w:rPr>
          <w:color w:val="auto"/>
          <w:highlight w:val="none"/>
        </w:rPr>
        <w:fldChar w:fldCharType="begin"/>
      </w:r>
      <w:r>
        <w:rPr>
          <w:color w:val="auto"/>
          <w:highlight w:val="none"/>
        </w:rPr>
        <w:instrText xml:space="preserve"> HYPERLINK "https://baike.sogou.com/m/fullLemma?lid=10403954&amp;g_ut=3" </w:instrText>
      </w:r>
      <w:r>
        <w:rPr>
          <w:color w:val="auto"/>
          <w:highlight w:val="none"/>
        </w:rPr>
        <w:fldChar w:fldCharType="separate"/>
      </w:r>
      <w:r>
        <w:rPr>
          <w:rStyle w:val="36"/>
          <w:rFonts w:hint="eastAsia" w:ascii="宋体" w:hAnsi="宋体" w:eastAsia="宋体" w:cs="宋体"/>
          <w:color w:val="auto"/>
          <w:sz w:val="24"/>
          <w:szCs w:val="24"/>
          <w:highlight w:val="none"/>
        </w:rPr>
        <w:t>环境犯罪</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的；</w:t>
      </w:r>
    </w:p>
    <w:p w14:paraId="6D2C4547">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w:t>
      </w:r>
      <w:r>
        <w:rPr>
          <w:color w:val="auto"/>
          <w:highlight w:val="none"/>
        </w:rPr>
        <w:fldChar w:fldCharType="begin"/>
      </w:r>
      <w:r>
        <w:rPr>
          <w:color w:val="auto"/>
          <w:highlight w:val="none"/>
        </w:rPr>
        <w:instrText xml:space="preserve"> HYPERLINK "https://baike.sogou.com/m/fullLemma?lid=76033123&amp;g_ut=3" </w:instrText>
      </w:r>
      <w:r>
        <w:rPr>
          <w:color w:val="auto"/>
          <w:highlight w:val="none"/>
        </w:rPr>
        <w:fldChar w:fldCharType="separate"/>
      </w:r>
      <w:r>
        <w:rPr>
          <w:rStyle w:val="36"/>
          <w:rFonts w:hint="eastAsia" w:ascii="宋体" w:hAnsi="宋体" w:eastAsia="宋体" w:cs="宋体"/>
          <w:color w:val="auto"/>
          <w:sz w:val="24"/>
          <w:szCs w:val="24"/>
          <w:highlight w:val="none"/>
        </w:rPr>
        <w:t>建设项目环境影响评价</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文件未按规定通过审批，擅自开工建设的；</w:t>
      </w:r>
    </w:p>
    <w:p w14:paraId="566A96CC">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（三）建设项目环保设施未建成、环保措施未落实、未通过</w:t>
      </w:r>
      <w:r>
        <w:rPr>
          <w:color w:val="auto"/>
          <w:highlight w:val="none"/>
        </w:rPr>
        <w:fldChar w:fldCharType="begin"/>
      </w:r>
      <w:r>
        <w:rPr>
          <w:color w:val="auto"/>
          <w:highlight w:val="none"/>
        </w:rPr>
        <w:instrText xml:space="preserve"> HYPERLINK "https://baike.sogou.com/m/fullLemma?lid=6470550&amp;g_ut=3" </w:instrText>
      </w:r>
      <w:r>
        <w:rPr>
          <w:color w:val="auto"/>
          <w:highlight w:val="none"/>
        </w:rPr>
        <w:fldChar w:fldCharType="separate"/>
      </w:r>
      <w:r>
        <w:rPr>
          <w:rStyle w:val="36"/>
          <w:rFonts w:hint="eastAsia" w:ascii="宋体" w:hAnsi="宋体" w:eastAsia="宋体" w:cs="宋体"/>
          <w:color w:val="auto"/>
          <w:sz w:val="24"/>
          <w:szCs w:val="24"/>
          <w:highlight w:val="none"/>
        </w:rPr>
        <w:t>竣工环保验收</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或者验收不合格，主体工程正式投入生产或者使用的；</w:t>
      </w:r>
    </w:p>
    <w:p w14:paraId="5228006D">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（四）建设项目性质、规模、地点、采用的生产工艺或者防治污染、防止生态破坏的措施发生重大变动，未重新报批环境影响评价文件，擅自投入生产或者使用的；</w:t>
      </w:r>
    </w:p>
    <w:p w14:paraId="63A53A26">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（五）主要污染物排放总量超过控制指标的；</w:t>
      </w:r>
    </w:p>
    <w:p w14:paraId="54B4BADD">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（六）私设暗管或者利用</w:t>
      </w:r>
      <w:r>
        <w:rPr>
          <w:color w:val="auto"/>
          <w:highlight w:val="none"/>
        </w:rPr>
        <w:fldChar w:fldCharType="begin"/>
      </w:r>
      <w:r>
        <w:rPr>
          <w:color w:val="auto"/>
          <w:highlight w:val="none"/>
        </w:rPr>
        <w:instrText xml:space="preserve"> HYPERLINK "https://baike.sogou.com/m/fullLemma?lid=41657319&amp;g_ut=3" </w:instrText>
      </w:r>
      <w:r>
        <w:rPr>
          <w:color w:val="auto"/>
          <w:highlight w:val="none"/>
        </w:rPr>
        <w:fldChar w:fldCharType="separate"/>
      </w:r>
      <w:r>
        <w:rPr>
          <w:rStyle w:val="36"/>
          <w:rFonts w:hint="eastAsia" w:ascii="宋体" w:hAnsi="宋体" w:eastAsia="宋体" w:cs="宋体"/>
          <w:color w:val="auto"/>
          <w:sz w:val="24"/>
          <w:szCs w:val="24"/>
          <w:highlight w:val="none"/>
        </w:rPr>
        <w:t>渗井</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、渗坑、裂隙、溶洞等排放、倾倒、处置水污染物，或者通过私设旁路排放</w:t>
      </w:r>
      <w:r>
        <w:rPr>
          <w:color w:val="auto"/>
          <w:highlight w:val="none"/>
        </w:rPr>
        <w:fldChar w:fldCharType="begin"/>
      </w:r>
      <w:r>
        <w:rPr>
          <w:color w:val="auto"/>
          <w:highlight w:val="none"/>
        </w:rPr>
        <w:instrText xml:space="preserve"> HYPERLINK "https://baike.sogou.com/m/fullLemma?lid=7758328&amp;g_ut=3" </w:instrText>
      </w:r>
      <w:r>
        <w:rPr>
          <w:color w:val="auto"/>
          <w:highlight w:val="none"/>
        </w:rPr>
        <w:fldChar w:fldCharType="separate"/>
      </w:r>
      <w:r>
        <w:rPr>
          <w:rStyle w:val="36"/>
          <w:rFonts w:hint="eastAsia" w:ascii="宋体" w:hAnsi="宋体" w:eastAsia="宋体" w:cs="宋体"/>
          <w:color w:val="auto"/>
          <w:sz w:val="24"/>
          <w:szCs w:val="24"/>
          <w:highlight w:val="none"/>
        </w:rPr>
        <w:t>大气污染物</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的；</w:t>
      </w:r>
    </w:p>
    <w:p w14:paraId="3471A22D">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（七）非法排放、倾倒、处置危险废物，或者向无</w:t>
      </w:r>
      <w:r>
        <w:rPr>
          <w:color w:val="auto"/>
          <w:highlight w:val="none"/>
        </w:rPr>
        <w:fldChar w:fldCharType="begin"/>
      </w:r>
      <w:r>
        <w:rPr>
          <w:color w:val="auto"/>
          <w:highlight w:val="none"/>
        </w:rPr>
        <w:instrText xml:space="preserve"> HYPERLINK "https://baike.sogou.com/m/fullLemma?lid=5923292&amp;g_ut=3" </w:instrText>
      </w:r>
      <w:r>
        <w:rPr>
          <w:color w:val="auto"/>
          <w:highlight w:val="none"/>
        </w:rPr>
        <w:fldChar w:fldCharType="separate"/>
      </w:r>
      <w:r>
        <w:rPr>
          <w:rStyle w:val="36"/>
          <w:rFonts w:hint="eastAsia" w:ascii="宋体" w:hAnsi="宋体" w:eastAsia="宋体" w:cs="宋体"/>
          <w:color w:val="auto"/>
          <w:sz w:val="24"/>
          <w:szCs w:val="24"/>
          <w:highlight w:val="none"/>
        </w:rPr>
        <w:t>经营许可证</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或者超出经营许可范围的单位或个人提供或者委托其收集、贮存、利用、处置危险废物的；</w:t>
      </w:r>
    </w:p>
    <w:p w14:paraId="066775C9">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（八）</w:t>
      </w:r>
      <w:r>
        <w:rPr>
          <w:color w:val="auto"/>
          <w:highlight w:val="none"/>
        </w:rPr>
        <w:fldChar w:fldCharType="begin"/>
      </w:r>
      <w:r>
        <w:rPr>
          <w:color w:val="auto"/>
          <w:highlight w:val="none"/>
        </w:rPr>
        <w:instrText xml:space="preserve"> HYPERLINK "https://baike.sogou.com/m/fullLemma?lid=167759803&amp;g_ut=3" </w:instrText>
      </w:r>
      <w:r>
        <w:rPr>
          <w:color w:val="auto"/>
          <w:highlight w:val="none"/>
        </w:rPr>
        <w:fldChar w:fldCharType="separate"/>
      </w:r>
      <w:r>
        <w:rPr>
          <w:rStyle w:val="36"/>
          <w:rFonts w:hint="eastAsia" w:ascii="宋体" w:hAnsi="宋体" w:eastAsia="宋体" w:cs="宋体"/>
          <w:color w:val="auto"/>
          <w:sz w:val="24"/>
          <w:szCs w:val="24"/>
          <w:highlight w:val="none"/>
        </w:rPr>
        <w:t>环境违法行为</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造成集中式生活饮用水水源取水中断的；</w:t>
      </w:r>
    </w:p>
    <w:p w14:paraId="4A1E66E7">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（九）环境违法行为对生活饮用水水源保护区、自然保护区、</w:t>
      </w:r>
      <w:r>
        <w:rPr>
          <w:color w:val="auto"/>
          <w:highlight w:val="none"/>
        </w:rPr>
        <w:fldChar w:fldCharType="begin"/>
      </w:r>
      <w:r>
        <w:rPr>
          <w:color w:val="auto"/>
          <w:highlight w:val="none"/>
        </w:rPr>
        <w:instrText xml:space="preserve"> HYPERLINK "https://baike.sogou.com/m/fullLemma?lid=155199213&amp;g_ut=3" </w:instrText>
      </w:r>
      <w:r>
        <w:rPr>
          <w:color w:val="auto"/>
          <w:highlight w:val="none"/>
        </w:rPr>
        <w:fldChar w:fldCharType="separate"/>
      </w:r>
      <w:r>
        <w:rPr>
          <w:rStyle w:val="36"/>
          <w:rFonts w:hint="eastAsia" w:ascii="宋体" w:hAnsi="宋体" w:eastAsia="宋体" w:cs="宋体"/>
          <w:color w:val="auto"/>
          <w:sz w:val="24"/>
          <w:szCs w:val="24"/>
          <w:highlight w:val="none"/>
        </w:rPr>
        <w:t>国家重点生态功能区</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、风景名胜区、居住功能区、</w:t>
      </w:r>
      <w:r>
        <w:rPr>
          <w:color w:val="auto"/>
          <w:highlight w:val="none"/>
        </w:rPr>
        <w:fldChar w:fldCharType="begin"/>
      </w:r>
      <w:r>
        <w:rPr>
          <w:color w:val="auto"/>
          <w:highlight w:val="none"/>
        </w:rPr>
        <w:instrText xml:space="preserve"> HYPERLINK "https://baike.sogou.com/m/fullLemma?lid=7757164&amp;g_ut=3" </w:instrText>
      </w:r>
      <w:r>
        <w:rPr>
          <w:color w:val="auto"/>
          <w:highlight w:val="none"/>
        </w:rPr>
        <w:fldChar w:fldCharType="separate"/>
      </w:r>
      <w:r>
        <w:rPr>
          <w:rStyle w:val="36"/>
          <w:rFonts w:hint="eastAsia" w:ascii="宋体" w:hAnsi="宋体" w:eastAsia="宋体" w:cs="宋体"/>
          <w:color w:val="auto"/>
          <w:sz w:val="24"/>
          <w:szCs w:val="24"/>
          <w:highlight w:val="none"/>
        </w:rPr>
        <w:t>基本农田保护区</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等环境敏感区造成重大不利影响的；</w:t>
      </w:r>
    </w:p>
    <w:p w14:paraId="0B5E7F51">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（十）违法从事自然资源开发、交通基础设施建设，以及其他开发建设活动，造成严重生态破坏的；</w:t>
      </w:r>
    </w:p>
    <w:p w14:paraId="43470045">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（十一）发生较大及以上突发环境事件的；</w:t>
      </w:r>
    </w:p>
    <w:p w14:paraId="15E2399A">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（十二）被环保部门挂牌督办，整改逾期未完成的；</w:t>
      </w:r>
    </w:p>
    <w:p w14:paraId="22C876F4">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（十三）以暴力、威胁等方式拒绝、阻挠环保部门工作人员现场检查的；</w:t>
      </w:r>
    </w:p>
    <w:p w14:paraId="7F883658">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（十四）违反重污染天气应急预案有关规定，对重污染天气响应不力的。</w:t>
      </w:r>
    </w:p>
    <w:p w14:paraId="2799C7A7">
      <w:pPr>
        <w:autoSpaceDE w:val="0"/>
        <w:adjustRightInd w:val="0"/>
        <w:snapToGrid w:val="0"/>
        <w:spacing w:line="48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依据：《关于对环境保护领域失信生产经营单位及其有关人员开展联合惩戒的合作备忘录》、《企业环境信用评价办法（试行）》（环发〔2013〕150号）</w:t>
      </w:r>
    </w:p>
    <w:p w14:paraId="518D2AE8">
      <w:pPr>
        <w:autoSpaceDE w:val="0"/>
        <w:adjustRightInd w:val="0"/>
        <w:snapToGrid w:val="0"/>
        <w:spacing w:line="48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三、</w:t>
      </w:r>
      <w:r>
        <w:rPr>
          <w:rFonts w:hint="eastAsia" w:ascii="宋体" w:hAnsi="宋体" w:eastAsia="宋体" w:cs="宋体"/>
          <w:b/>
          <w:bCs/>
          <w:color w:val="auto"/>
          <w:sz w:val="24"/>
          <w:szCs w:val="24"/>
          <w:highlight w:val="none"/>
          <w:lang w:bidi="ar"/>
        </w:rPr>
        <w:t>公共资源交易领域严重失信行为</w:t>
      </w:r>
    </w:p>
    <w:p w14:paraId="2FB3ECEF">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（一）违反法律规定，必须进行招标的项目而不招标的，将必须进行招标的项目化整为零或者以其他任何方式规避招标的； </w:t>
      </w:r>
    </w:p>
    <w:p w14:paraId="249560D2">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（二）招标代理机构违反法律规定，泄露应当保密的与招标投标活动有关的情况和资料的，或者与招标人、投标人串通损害 国家利益、社会公共利益或者他人合法权益的；</w:t>
      </w:r>
    </w:p>
    <w:p w14:paraId="11B02385">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（三）招标人以不合理的条件限制或者排斥潜在投标人的，对潜在投标人实行歧视待遇的，强制要求投标人组成联合体共同 投标的，或者限制投标人之间竞争的；</w:t>
      </w:r>
    </w:p>
    <w:p w14:paraId="2D4F66E1">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（四）依法必须进行招标的项目的招标人向他人透露已获取招标文件的潜在投标人的名称、数量或者可能影响公平竞争的有 关招标投标的其他情况的，或者泄露标底的；</w:t>
      </w:r>
    </w:p>
    <w:p w14:paraId="5A2A9D1A">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（五）投标人相互串通投标或者与招标人串通投标的，投标人以向招标人或者评标委员会成员行贿的手段谋取中标的； </w:t>
      </w:r>
    </w:p>
    <w:p w14:paraId="2FD9E6B5">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（六）投标人以他人名义投标或者以其他方式弄虚作假，骗取中标的；</w:t>
      </w:r>
    </w:p>
    <w:p w14:paraId="557475AF">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（七）依法必须进行招标的项目，招标人违反法律规定，与投标人就投标价格、投标方案等实质性内容进行谈判的；</w:t>
      </w:r>
    </w:p>
    <w:p w14:paraId="6FD3A2CC">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25195F5A">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（九）招标人在评标委员会依法推荐的中标候选人以外确定中标人的，依法必须进行招标的项目在所有投标被评标委员会否 决后自行确定中标人的； </w:t>
      </w:r>
    </w:p>
    <w:p w14:paraId="596BC142">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（十）中标人将中标项目转让给他人的，将中标项目肢解后分别转让给他人的，违反法律规定将中标项目的部分主体、关键 性工作分包给他人的，或者分包人再次分包的； </w:t>
      </w:r>
    </w:p>
    <w:p w14:paraId="15E1D859">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（十一）招标人与中标人不按照招标文件和中标人的投标文件订立合同的，或者招标人、中标人订立背离合同实质性内容的 协议的； </w:t>
      </w:r>
    </w:p>
    <w:p w14:paraId="143579DE">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（十二）中标人不按照与招标人订立的合同履行义务，情节严重的； </w:t>
      </w:r>
    </w:p>
    <w:p w14:paraId="62910194">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6FF672FD">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5CA64726">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（十五）采购人对应当实行集中采购的政府采购项目，不委托集中采购机构实行集中采购的； </w:t>
      </w:r>
    </w:p>
    <w:p w14:paraId="720464BA">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（十六）采购人、采购代理机构违反法律规定隐匿、销毁应当保存的采购文件或者伪造、变造采购文件的； </w:t>
      </w:r>
    </w:p>
    <w:p w14:paraId="2D99314D">
      <w:pPr>
        <w:autoSpaceDE w:val="0"/>
        <w:adjustRightInd w:val="0"/>
        <w:snapToGrid w:val="0"/>
        <w:spacing w:line="48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69052904">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（十八）疫苗生产企业向县级疾病预防控制机构以外的单位或者个人销售第二类疫苗的； </w:t>
      </w:r>
    </w:p>
    <w:p w14:paraId="06037AB0">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（十九）存在其他违反公共资源交易法律法规行为的。</w:t>
      </w:r>
    </w:p>
    <w:p w14:paraId="4E866B8F">
      <w:pPr>
        <w:autoSpaceDE w:val="0"/>
        <w:adjustRightInd w:val="0"/>
        <w:snapToGrid w:val="0"/>
        <w:spacing w:line="480" w:lineRule="exact"/>
        <w:ind w:firstLine="766" w:firstLineChars="318"/>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依据：《关于对公共资源交易领域严重失信主体开展联合惩戒的备忘录》（发改法规〔2018〕457号）</w:t>
      </w:r>
    </w:p>
    <w:p w14:paraId="15D91A94">
      <w:pPr>
        <w:autoSpaceDE w:val="0"/>
        <w:adjustRightInd w:val="0"/>
        <w:snapToGrid w:val="0"/>
        <w:spacing w:line="480" w:lineRule="exact"/>
        <w:ind w:firstLine="645"/>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四、</w:t>
      </w:r>
      <w:r>
        <w:rPr>
          <w:rFonts w:hint="eastAsia" w:ascii="宋体" w:hAnsi="宋体" w:eastAsia="宋体" w:cs="宋体"/>
          <w:b/>
          <w:bCs/>
          <w:color w:val="auto"/>
          <w:sz w:val="24"/>
          <w:szCs w:val="24"/>
          <w:highlight w:val="none"/>
          <w:lang w:bidi="ar"/>
        </w:rPr>
        <w:t>社会保险领域严重失信行为</w:t>
      </w:r>
    </w:p>
    <w:p w14:paraId="44DD5A23">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（一）用人单位未按相关规定参加社会保险且拒不整改的； </w:t>
      </w:r>
    </w:p>
    <w:p w14:paraId="7AD7B74B">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（二）用人单位未如实申报社会保险缴费基数且拒不整改的； </w:t>
      </w:r>
    </w:p>
    <w:p w14:paraId="409FBC7F">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（三）应缴纳社会保险费却拒不缴纳的； </w:t>
      </w:r>
    </w:p>
    <w:p w14:paraId="4B0F1E8A">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（四）隐匿、转移、侵占、挪用社会保险费款、基金或者违规投资运营的；</w:t>
      </w:r>
    </w:p>
    <w:p w14:paraId="1E137C23">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（五）以欺诈、伪造证明材料或者其他手段参加、申报社会保险和骗取社会保险基金支出或社会保险待遇的； </w:t>
      </w:r>
    </w:p>
    <w:p w14:paraId="6C8E02AF">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（六）非法获取、出售或变相交易社会保险个人权益数据的； </w:t>
      </w:r>
    </w:p>
    <w:p w14:paraId="1F09E7B7">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（七）社会保险服务机构违反服务协议或相关规定的； </w:t>
      </w:r>
    </w:p>
    <w:p w14:paraId="5A0B1FEF">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（八）拒绝协助社会保险行政部门、经办机构对事故和问题进 行调查核实的；拒绝接受或协助税务部门对社会保险实施监督检查， 不如实提供与社会保险相关各项资料的； </w:t>
      </w:r>
    </w:p>
    <w:p w14:paraId="77D50676">
      <w:pPr>
        <w:autoSpaceDE w:val="0"/>
        <w:adjustRightInd w:val="0"/>
        <w:snapToGrid w:val="0"/>
        <w:spacing w:line="48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（九）其他违反法律法规规定的。</w:t>
      </w:r>
    </w:p>
    <w:p w14:paraId="4265D99F">
      <w:pPr>
        <w:autoSpaceDE w:val="0"/>
        <w:adjustRightInd w:val="0"/>
        <w:snapToGrid w:val="0"/>
        <w:spacing w:line="480" w:lineRule="exact"/>
        <w:ind w:firstLine="472" w:firstLineChars="196"/>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依据：《关于对社会保险领域严重失信企业及其有关人员实施联合惩戒的合作备忘录》（发改财金〔2018〕1704号）</w:t>
      </w:r>
    </w:p>
    <w:p w14:paraId="585A933C">
      <w:pPr>
        <w:autoSpaceDE w:val="0"/>
        <w:adjustRightInd w:val="0"/>
        <w:snapToGrid w:val="0"/>
        <w:spacing w:line="480" w:lineRule="exact"/>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
          <w:color w:val="auto"/>
          <w:sz w:val="24"/>
          <w:szCs w:val="24"/>
          <w:highlight w:val="none"/>
          <w:lang w:bidi="ar"/>
        </w:rPr>
        <w:t>五、建筑市场领域</w:t>
      </w:r>
      <w:r>
        <w:rPr>
          <w:rFonts w:hint="eastAsia" w:ascii="宋体" w:hAnsi="宋体" w:eastAsia="宋体" w:cs="宋体"/>
          <w:b/>
          <w:bCs/>
          <w:color w:val="auto"/>
          <w:sz w:val="24"/>
          <w:szCs w:val="24"/>
          <w:highlight w:val="none"/>
          <w:lang w:bidi="ar"/>
        </w:rPr>
        <w:t>严重失信行为</w:t>
      </w:r>
    </w:p>
    <w:p w14:paraId="25CF42E9">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（一）利用虚假材料、以欺骗手段取得企业资质的；</w:t>
      </w:r>
    </w:p>
    <w:p w14:paraId="1B469D85">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（二）发生转包、出借资质，受到行政处罚的；</w:t>
      </w:r>
    </w:p>
    <w:p w14:paraId="7F15A59E">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（三）发生重大及以上工程质量安全事故，或1年内累计发生2次及以上较大工程质量安全事故，或发生性质恶劣、危害性严重、社会影响大的较大工程质量安全事故，受到行政处罚的；</w:t>
      </w:r>
    </w:p>
    <w:p w14:paraId="7C7FA857">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（四）经法院判决或仲裁机构裁决，认定为拖欠工程款,且拒不履行生效法律文书确定的义务的。</w:t>
      </w:r>
    </w:p>
    <w:p w14:paraId="4869FAE1">
      <w:pPr>
        <w:autoSpaceDE w:val="0"/>
        <w:adjustRightInd w:val="0"/>
        <w:snapToGrid w:val="0"/>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各级住房城乡建设主管部门应当参照建筑市场主体“黑名单”，对被人力资源社会保障行政部门列入拖欠农民工工资“黑名单”的建筑市场各方主体加强监管。</w:t>
      </w:r>
    </w:p>
    <w:p w14:paraId="24CA6B86">
      <w:pPr>
        <w:autoSpaceDE w:val="0"/>
        <w:spacing w:line="480" w:lineRule="exact"/>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依据：《建筑市场信用管理暂行办法》（建市〔2017〕241号）</w:t>
      </w:r>
    </w:p>
    <w:p w14:paraId="048BA8BC">
      <w:pPr>
        <w:autoSpaceDE w:val="0"/>
        <w:adjustRightInd w:val="0"/>
        <w:snapToGrid w:val="0"/>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六、政府采购严重失信行为</w:t>
      </w:r>
    </w:p>
    <w:p w14:paraId="7CD4D87C">
      <w:pPr>
        <w:autoSpaceDE w:val="0"/>
        <w:adjustRightInd w:val="0"/>
        <w:snapToGrid w:val="0"/>
        <w:spacing w:line="480" w:lineRule="exact"/>
        <w:ind w:firstLine="6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供应商、采购代理机构在三年内受到财政部门作出下列情形之一的行政处罚，列入政府采购严重违法失信行为记录名单。</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（一）三万元以上罚款；</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（二）在一至三年内禁止参加政府采购活动（处罚期限届满的除外）；</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（三）在一至三年内禁止代理政府采购业务（处罚期限届满的除外）；</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（四）撤销政府采购代理机构资格（仅针对《政府采购法》第78条修改前作出的处罚决定）。</w:t>
      </w:r>
    </w:p>
    <w:p w14:paraId="0C8202FD">
      <w:pPr>
        <w:autoSpaceDE w:val="0"/>
        <w:adjustRightInd w:val="0"/>
        <w:snapToGrid w:val="0"/>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依据：《关于报送政府采购严重违法失信行为信息记录的通知》（财办库〔2014〕526号）</w:t>
      </w:r>
    </w:p>
    <w:p w14:paraId="72B953C9">
      <w:pPr>
        <w:autoSpaceDE w:val="0"/>
        <w:adjustRightInd w:val="0"/>
        <w:snapToGrid w:val="0"/>
        <w:spacing w:line="480" w:lineRule="exact"/>
        <w:ind w:firstLine="615"/>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未列出的其他类别严重失信行为，由招标人（代理机构）根据各类别行业主管部门下发的联合惩戒文件进行判断。</w:t>
      </w:r>
      <w:r>
        <w:rPr>
          <w:rFonts w:hint="eastAsia" w:ascii="宋体" w:hAnsi="宋体" w:eastAsia="宋体" w:cs="宋体"/>
          <w:color w:val="auto"/>
          <w:sz w:val="24"/>
          <w:szCs w:val="24"/>
          <w:highlight w:val="none"/>
          <w:lang w:bidi="ar"/>
        </w:rPr>
        <w:t xml:space="preserve"> </w:t>
      </w:r>
    </w:p>
    <w:p w14:paraId="79B977F0">
      <w:pPr>
        <w:spacing w:line="380" w:lineRule="exact"/>
        <w:ind w:firstLine="615"/>
        <w:rPr>
          <w:rFonts w:hint="eastAsia" w:ascii="宋体" w:hAnsi="宋体" w:eastAsia="宋体" w:cs="宋体"/>
          <w:b/>
          <w:color w:val="auto"/>
          <w:sz w:val="24"/>
          <w:szCs w:val="24"/>
          <w:highlight w:val="none"/>
        </w:rPr>
      </w:pPr>
    </w:p>
    <w:p w14:paraId="65312475">
      <w:pPr>
        <w:spacing w:line="38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 xml:space="preserve"> </w:t>
      </w:r>
    </w:p>
    <w:p w14:paraId="29508ED9">
      <w:pPr>
        <w:spacing w:line="360" w:lineRule="auto"/>
        <w:ind w:firstLine="435"/>
        <w:rPr>
          <w:rFonts w:hint="eastAsia" w:ascii="宋体" w:hAnsi="宋体" w:eastAsia="宋体" w:cs="宋体"/>
          <w:color w:val="auto"/>
          <w:sz w:val="24"/>
          <w:szCs w:val="24"/>
          <w:highlight w:val="none"/>
        </w:rPr>
      </w:pPr>
    </w:p>
    <w:p w14:paraId="1284D55B">
      <w:pPr>
        <w:spacing w:line="360" w:lineRule="auto"/>
        <w:rPr>
          <w:rFonts w:hint="eastAsia" w:ascii="宋体" w:hAnsi="宋体" w:eastAsia="宋体" w:cs="宋体"/>
          <w:color w:val="auto"/>
          <w:sz w:val="24"/>
          <w:szCs w:val="24"/>
          <w:highlight w:val="none"/>
        </w:rPr>
      </w:pP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877F">
    <w:pPr>
      <w:pStyle w:val="16"/>
      <w:jc w:val="center"/>
      <w:rPr>
        <w:rFonts w:hint="eastAsia"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68C13">
    <w:pPr>
      <w:pStyle w:val="16"/>
      <w:rPr>
        <w:rFonts w:hint="eastAsia"/>
      </w:rP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981BB5C">
                          <w:pPr>
                            <w:pStyle w:val="16"/>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4981BB5C">
                    <w:pPr>
                      <w:pStyle w:val="16"/>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6680">
    <w:pPr>
      <w:pStyle w:val="1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E0624">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ADE0624">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44C0">
    <w:pPr>
      <w:pStyle w:val="17"/>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A81A4">
    <w:pPr>
      <w:pStyle w:val="1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6"/>
      <w:numFmt w:val="decimal"/>
      <w:suff w:val="space"/>
      <w:lvlText w:val="%1."/>
      <w:lvlJc w:val="left"/>
    </w:lvl>
  </w:abstractNum>
  <w:abstractNum w:abstractNumId="2">
    <w:nsid w:val="00000003"/>
    <w:multiLevelType w:val="singleLevel"/>
    <w:tmpl w:val="00000003"/>
    <w:lvl w:ilvl="0" w:tentative="0">
      <w:start w:val="2"/>
      <w:numFmt w:val="decimal"/>
      <w:suff w:val="space"/>
      <w:lvlText w:val="%1."/>
      <w:lvlJc w:val="left"/>
    </w:lvl>
  </w:abstractNum>
  <w:abstractNum w:abstractNumId="3">
    <w:nsid w:val="00000004"/>
    <w:multiLevelType w:val="singleLevel"/>
    <w:tmpl w:val="00000004"/>
    <w:lvl w:ilvl="0" w:tentative="0">
      <w:start w:val="23"/>
      <w:numFmt w:val="decimal"/>
      <w:suff w:val="space"/>
      <w:lvlText w:val="%1."/>
      <w:lvlJc w:val="left"/>
    </w:lvl>
  </w:abstractNum>
  <w:abstractNum w:abstractNumId="4">
    <w:nsid w:val="00000005"/>
    <w:multiLevelType w:val="multilevel"/>
    <w:tmpl w:val="00000005"/>
    <w:lvl w:ilvl="0" w:tentative="0">
      <w:start w:val="1"/>
      <w:numFmt w:val="decimal"/>
      <w:lvlText w:val="%1、"/>
      <w:lvlJc w:val="left"/>
      <w:pPr>
        <w:ind w:left="371" w:hanging="360"/>
      </w:pPr>
      <w:rPr>
        <w:rFonts w:hint="default"/>
      </w:rPr>
    </w:lvl>
    <w:lvl w:ilvl="1" w:tentative="0">
      <w:start w:val="1"/>
      <w:numFmt w:val="lowerLetter"/>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5">
    <w:nsid w:val="00000006"/>
    <w:multiLevelType w:val="singleLevel"/>
    <w:tmpl w:val="00000006"/>
    <w:lvl w:ilvl="0" w:tentative="0">
      <w:start w:val="1"/>
      <w:numFmt w:val="decimal"/>
      <w:suff w:val="space"/>
      <w:lvlText w:val="%1."/>
      <w:lvlJc w:val="left"/>
    </w:lvl>
  </w:abstractNum>
  <w:abstractNum w:abstractNumId="6">
    <w:nsid w:val="0053208E"/>
    <w:multiLevelType w:val="singleLevel"/>
    <w:tmpl w:val="0053208E"/>
    <w:lvl w:ilvl="0" w:tentative="0">
      <w:start w:val="16"/>
      <w:numFmt w:val="decimal"/>
      <w:suff w:val="space"/>
      <w:lvlText w:val="%1."/>
      <w:lvlJc w:val="left"/>
    </w:lvl>
  </w:abstractNum>
  <w:abstractNum w:abstractNumId="7">
    <w:nsid w:val="1CB93FD5"/>
    <w:multiLevelType w:val="singleLevel"/>
    <w:tmpl w:val="1CB93FD5"/>
    <w:lvl w:ilvl="0" w:tentative="0">
      <w:start w:val="5"/>
      <w:numFmt w:val="chineseCounting"/>
      <w:suff w:val="nothing"/>
      <w:lvlText w:val="%1、"/>
      <w:lvlJc w:val="left"/>
      <w:rPr>
        <w:rFonts w:hint="eastAsia"/>
      </w:rPr>
    </w:lvl>
  </w:abstractNum>
  <w:num w:numId="1">
    <w:abstractNumId w:val="5"/>
  </w:num>
  <w:num w:numId="2">
    <w:abstractNumId w:val="0"/>
  </w:num>
  <w:num w:numId="3">
    <w:abstractNumId w:val="4"/>
  </w:num>
  <w:num w:numId="4">
    <w:abstractNumId w:val="2"/>
  </w:num>
  <w:num w:numId="5">
    <w:abstractNumId w:val="1"/>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ZTY3N2FlNWMzMGQ4ODJjZjNiMzAzNjYzMGVjZmM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86C25"/>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F5B"/>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C43FC"/>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2C4"/>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96C8D"/>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100127"/>
    <w:rsid w:val="014434A8"/>
    <w:rsid w:val="017B1BF9"/>
    <w:rsid w:val="01D60B10"/>
    <w:rsid w:val="01E93A1B"/>
    <w:rsid w:val="02110D66"/>
    <w:rsid w:val="0214602E"/>
    <w:rsid w:val="02380E83"/>
    <w:rsid w:val="025F774E"/>
    <w:rsid w:val="029A6E6A"/>
    <w:rsid w:val="02D435F7"/>
    <w:rsid w:val="03486B27"/>
    <w:rsid w:val="040A094E"/>
    <w:rsid w:val="04671EF4"/>
    <w:rsid w:val="04B35139"/>
    <w:rsid w:val="04F5705D"/>
    <w:rsid w:val="05485881"/>
    <w:rsid w:val="056F201D"/>
    <w:rsid w:val="05940AC6"/>
    <w:rsid w:val="05B664D4"/>
    <w:rsid w:val="06071298"/>
    <w:rsid w:val="064B485A"/>
    <w:rsid w:val="06823FBC"/>
    <w:rsid w:val="068C65C4"/>
    <w:rsid w:val="07076C01"/>
    <w:rsid w:val="071C12AC"/>
    <w:rsid w:val="077C7A64"/>
    <w:rsid w:val="07A934B3"/>
    <w:rsid w:val="07EB6287"/>
    <w:rsid w:val="07EC4BEA"/>
    <w:rsid w:val="0806421B"/>
    <w:rsid w:val="08122176"/>
    <w:rsid w:val="08D77648"/>
    <w:rsid w:val="094A3686"/>
    <w:rsid w:val="09747A74"/>
    <w:rsid w:val="0980662B"/>
    <w:rsid w:val="0980799C"/>
    <w:rsid w:val="09944B8E"/>
    <w:rsid w:val="0A32077B"/>
    <w:rsid w:val="0A6A18DB"/>
    <w:rsid w:val="0A73514E"/>
    <w:rsid w:val="0A7D1BE8"/>
    <w:rsid w:val="0A975B48"/>
    <w:rsid w:val="0A9A216D"/>
    <w:rsid w:val="0AEF3828"/>
    <w:rsid w:val="0B406381"/>
    <w:rsid w:val="0B7D19AF"/>
    <w:rsid w:val="0BB452AA"/>
    <w:rsid w:val="0BBB665B"/>
    <w:rsid w:val="0C0F534B"/>
    <w:rsid w:val="0C1069CD"/>
    <w:rsid w:val="0C5E598A"/>
    <w:rsid w:val="0C685EAE"/>
    <w:rsid w:val="0C992C37"/>
    <w:rsid w:val="0CBD6F29"/>
    <w:rsid w:val="0D5B011C"/>
    <w:rsid w:val="0D7C07BE"/>
    <w:rsid w:val="0D8633EB"/>
    <w:rsid w:val="0DB55A7E"/>
    <w:rsid w:val="0DE33899"/>
    <w:rsid w:val="0E810642"/>
    <w:rsid w:val="0E9113ED"/>
    <w:rsid w:val="0EAC50D3"/>
    <w:rsid w:val="0EDB1514"/>
    <w:rsid w:val="0EEA6FC1"/>
    <w:rsid w:val="0F790928"/>
    <w:rsid w:val="0F8400D8"/>
    <w:rsid w:val="102636A0"/>
    <w:rsid w:val="107C607B"/>
    <w:rsid w:val="10CD72BB"/>
    <w:rsid w:val="111625C1"/>
    <w:rsid w:val="115031A6"/>
    <w:rsid w:val="11724A4D"/>
    <w:rsid w:val="118D4E7A"/>
    <w:rsid w:val="12197477"/>
    <w:rsid w:val="12314985"/>
    <w:rsid w:val="1264785B"/>
    <w:rsid w:val="12E05F13"/>
    <w:rsid w:val="12F16504"/>
    <w:rsid w:val="131B5CD3"/>
    <w:rsid w:val="13776448"/>
    <w:rsid w:val="1382549E"/>
    <w:rsid w:val="14025795"/>
    <w:rsid w:val="144F070C"/>
    <w:rsid w:val="1466407E"/>
    <w:rsid w:val="14834E28"/>
    <w:rsid w:val="148E7D65"/>
    <w:rsid w:val="149363ED"/>
    <w:rsid w:val="14C34F24"/>
    <w:rsid w:val="15225379"/>
    <w:rsid w:val="15231BF9"/>
    <w:rsid w:val="15515573"/>
    <w:rsid w:val="15565D98"/>
    <w:rsid w:val="15C4546D"/>
    <w:rsid w:val="160B4F92"/>
    <w:rsid w:val="16705DED"/>
    <w:rsid w:val="16881F81"/>
    <w:rsid w:val="16EA2C3C"/>
    <w:rsid w:val="17365652"/>
    <w:rsid w:val="17595D7F"/>
    <w:rsid w:val="189C1D14"/>
    <w:rsid w:val="195A07CF"/>
    <w:rsid w:val="19A03A86"/>
    <w:rsid w:val="19D33615"/>
    <w:rsid w:val="1A064976"/>
    <w:rsid w:val="1A361CF4"/>
    <w:rsid w:val="1A3B68AA"/>
    <w:rsid w:val="1A3E1C1E"/>
    <w:rsid w:val="1B6F4F40"/>
    <w:rsid w:val="1C0A315F"/>
    <w:rsid w:val="1C141836"/>
    <w:rsid w:val="1C33473D"/>
    <w:rsid w:val="1C5A786C"/>
    <w:rsid w:val="1C76537D"/>
    <w:rsid w:val="1CB87339"/>
    <w:rsid w:val="1CB97505"/>
    <w:rsid w:val="1CF2638E"/>
    <w:rsid w:val="1D0C4F8F"/>
    <w:rsid w:val="1D7847A6"/>
    <w:rsid w:val="1D9C6312"/>
    <w:rsid w:val="1E1265D5"/>
    <w:rsid w:val="1E2E78B2"/>
    <w:rsid w:val="1E4449D5"/>
    <w:rsid w:val="1E6B6A14"/>
    <w:rsid w:val="1F370744"/>
    <w:rsid w:val="1F521FFB"/>
    <w:rsid w:val="1F6115C2"/>
    <w:rsid w:val="1F933745"/>
    <w:rsid w:val="1F955DB9"/>
    <w:rsid w:val="1FD16A32"/>
    <w:rsid w:val="20104D96"/>
    <w:rsid w:val="20216FA3"/>
    <w:rsid w:val="202E4C70"/>
    <w:rsid w:val="20550D9A"/>
    <w:rsid w:val="209B6D55"/>
    <w:rsid w:val="20AC3611"/>
    <w:rsid w:val="20C0056A"/>
    <w:rsid w:val="20D12777"/>
    <w:rsid w:val="20E26732"/>
    <w:rsid w:val="20E95028"/>
    <w:rsid w:val="21221225"/>
    <w:rsid w:val="21845C9E"/>
    <w:rsid w:val="218E2416"/>
    <w:rsid w:val="226915FE"/>
    <w:rsid w:val="227000D6"/>
    <w:rsid w:val="22702106"/>
    <w:rsid w:val="22A85809"/>
    <w:rsid w:val="22E5075C"/>
    <w:rsid w:val="234F4B80"/>
    <w:rsid w:val="2411199F"/>
    <w:rsid w:val="241804A5"/>
    <w:rsid w:val="24214489"/>
    <w:rsid w:val="245D47C2"/>
    <w:rsid w:val="247769C5"/>
    <w:rsid w:val="24B97929"/>
    <w:rsid w:val="24D632D7"/>
    <w:rsid w:val="25205A7B"/>
    <w:rsid w:val="25381017"/>
    <w:rsid w:val="265A4FBD"/>
    <w:rsid w:val="26E10E4C"/>
    <w:rsid w:val="270A5A82"/>
    <w:rsid w:val="271E0BB2"/>
    <w:rsid w:val="276021F9"/>
    <w:rsid w:val="27710810"/>
    <w:rsid w:val="27CD5A5E"/>
    <w:rsid w:val="27D241F6"/>
    <w:rsid w:val="27D65DBA"/>
    <w:rsid w:val="283A6824"/>
    <w:rsid w:val="285F40CA"/>
    <w:rsid w:val="289E1AF0"/>
    <w:rsid w:val="28C01ECB"/>
    <w:rsid w:val="29253660"/>
    <w:rsid w:val="29AD7541"/>
    <w:rsid w:val="29BF71E3"/>
    <w:rsid w:val="29C41F6C"/>
    <w:rsid w:val="29D6387F"/>
    <w:rsid w:val="29E03A2B"/>
    <w:rsid w:val="2A127B63"/>
    <w:rsid w:val="2A186477"/>
    <w:rsid w:val="2A451A6C"/>
    <w:rsid w:val="2AAA4765"/>
    <w:rsid w:val="2AC21606"/>
    <w:rsid w:val="2B256358"/>
    <w:rsid w:val="2B365FF8"/>
    <w:rsid w:val="2B446269"/>
    <w:rsid w:val="2B7E7608"/>
    <w:rsid w:val="2B7F04E9"/>
    <w:rsid w:val="2B8B554A"/>
    <w:rsid w:val="2B8F3398"/>
    <w:rsid w:val="2C8D32DB"/>
    <w:rsid w:val="2C932FD6"/>
    <w:rsid w:val="2D496D68"/>
    <w:rsid w:val="2E11136E"/>
    <w:rsid w:val="2E7A48DE"/>
    <w:rsid w:val="2E9C43C4"/>
    <w:rsid w:val="2EBA5177"/>
    <w:rsid w:val="2EDC3ED8"/>
    <w:rsid w:val="2EE40E2C"/>
    <w:rsid w:val="2F104B00"/>
    <w:rsid w:val="2F6351B4"/>
    <w:rsid w:val="2F9E02E9"/>
    <w:rsid w:val="2FA53C7A"/>
    <w:rsid w:val="2FC86126"/>
    <w:rsid w:val="2FCF199E"/>
    <w:rsid w:val="30133AD1"/>
    <w:rsid w:val="30483E83"/>
    <w:rsid w:val="309317F7"/>
    <w:rsid w:val="30AC2E50"/>
    <w:rsid w:val="30BF3991"/>
    <w:rsid w:val="3111619A"/>
    <w:rsid w:val="31B139DC"/>
    <w:rsid w:val="31F07456"/>
    <w:rsid w:val="32497AF3"/>
    <w:rsid w:val="325668E3"/>
    <w:rsid w:val="32FE1578"/>
    <w:rsid w:val="343C0775"/>
    <w:rsid w:val="34401962"/>
    <w:rsid w:val="34827E67"/>
    <w:rsid w:val="348D47EE"/>
    <w:rsid w:val="349B5B79"/>
    <w:rsid w:val="34A51AF9"/>
    <w:rsid w:val="356C50EC"/>
    <w:rsid w:val="36137E45"/>
    <w:rsid w:val="362B30EB"/>
    <w:rsid w:val="36376E0A"/>
    <w:rsid w:val="36484C39"/>
    <w:rsid w:val="364A4C7C"/>
    <w:rsid w:val="36A83A7F"/>
    <w:rsid w:val="36C02CFA"/>
    <w:rsid w:val="36E27AE8"/>
    <w:rsid w:val="3700166C"/>
    <w:rsid w:val="371A1B6C"/>
    <w:rsid w:val="379A1012"/>
    <w:rsid w:val="38694EE9"/>
    <w:rsid w:val="387B329C"/>
    <w:rsid w:val="38F1355F"/>
    <w:rsid w:val="39717338"/>
    <w:rsid w:val="398443D3"/>
    <w:rsid w:val="39B40599"/>
    <w:rsid w:val="3A0946EB"/>
    <w:rsid w:val="3A117273"/>
    <w:rsid w:val="3A6818FA"/>
    <w:rsid w:val="3AAD21B4"/>
    <w:rsid w:val="3AB344ED"/>
    <w:rsid w:val="3B0B7708"/>
    <w:rsid w:val="3B365CC9"/>
    <w:rsid w:val="3B60677A"/>
    <w:rsid w:val="3B697D24"/>
    <w:rsid w:val="3B814447"/>
    <w:rsid w:val="3B9A7B88"/>
    <w:rsid w:val="3BB42978"/>
    <w:rsid w:val="3BD8694B"/>
    <w:rsid w:val="3C161A03"/>
    <w:rsid w:val="3C771FCD"/>
    <w:rsid w:val="3CDF3F9E"/>
    <w:rsid w:val="3D2C7AC8"/>
    <w:rsid w:val="3D4E2786"/>
    <w:rsid w:val="3D536596"/>
    <w:rsid w:val="3D855D12"/>
    <w:rsid w:val="3D8B42FF"/>
    <w:rsid w:val="3DD338D1"/>
    <w:rsid w:val="3DE86C4C"/>
    <w:rsid w:val="3DF36A6E"/>
    <w:rsid w:val="3EA572C5"/>
    <w:rsid w:val="3EBA1EE9"/>
    <w:rsid w:val="3F0833B0"/>
    <w:rsid w:val="3F182204"/>
    <w:rsid w:val="3F786788"/>
    <w:rsid w:val="3F792F1E"/>
    <w:rsid w:val="3F8A6905"/>
    <w:rsid w:val="3F9133A5"/>
    <w:rsid w:val="40493E7F"/>
    <w:rsid w:val="40824826"/>
    <w:rsid w:val="40A54574"/>
    <w:rsid w:val="40E63923"/>
    <w:rsid w:val="41546D80"/>
    <w:rsid w:val="415643E4"/>
    <w:rsid w:val="419158DF"/>
    <w:rsid w:val="41E537CB"/>
    <w:rsid w:val="42293AD3"/>
    <w:rsid w:val="42971481"/>
    <w:rsid w:val="42A04182"/>
    <w:rsid w:val="42EB67BC"/>
    <w:rsid w:val="43032966"/>
    <w:rsid w:val="43194544"/>
    <w:rsid w:val="433437C5"/>
    <w:rsid w:val="43A91E5B"/>
    <w:rsid w:val="448121AB"/>
    <w:rsid w:val="449E0D39"/>
    <w:rsid w:val="44E41ED5"/>
    <w:rsid w:val="4542321E"/>
    <w:rsid w:val="45B222C8"/>
    <w:rsid w:val="45B44292"/>
    <w:rsid w:val="45C73FC5"/>
    <w:rsid w:val="45E32B26"/>
    <w:rsid w:val="45EF5FB8"/>
    <w:rsid w:val="463A3650"/>
    <w:rsid w:val="46461627"/>
    <w:rsid w:val="46647A66"/>
    <w:rsid w:val="469F0116"/>
    <w:rsid w:val="46A2058E"/>
    <w:rsid w:val="46B32A67"/>
    <w:rsid w:val="46F1158D"/>
    <w:rsid w:val="47277B83"/>
    <w:rsid w:val="4750522E"/>
    <w:rsid w:val="475259B7"/>
    <w:rsid w:val="475C7B62"/>
    <w:rsid w:val="47995D18"/>
    <w:rsid w:val="483E28ED"/>
    <w:rsid w:val="484F2050"/>
    <w:rsid w:val="488302AE"/>
    <w:rsid w:val="48831CF9"/>
    <w:rsid w:val="48AC020A"/>
    <w:rsid w:val="48C30253"/>
    <w:rsid w:val="48CB7AD6"/>
    <w:rsid w:val="48F54394"/>
    <w:rsid w:val="49024C9C"/>
    <w:rsid w:val="49044BE8"/>
    <w:rsid w:val="496F4D40"/>
    <w:rsid w:val="49B1408D"/>
    <w:rsid w:val="49CA6E56"/>
    <w:rsid w:val="49FE5ADB"/>
    <w:rsid w:val="4A027BBB"/>
    <w:rsid w:val="4A323C61"/>
    <w:rsid w:val="4A39249C"/>
    <w:rsid w:val="4A7D4FD2"/>
    <w:rsid w:val="4A913C9A"/>
    <w:rsid w:val="4B1F70AC"/>
    <w:rsid w:val="4B240F94"/>
    <w:rsid w:val="4B4D6D1A"/>
    <w:rsid w:val="4B856638"/>
    <w:rsid w:val="4BAB57D4"/>
    <w:rsid w:val="4BDA5120"/>
    <w:rsid w:val="4C0832E5"/>
    <w:rsid w:val="4C3C565C"/>
    <w:rsid w:val="4C5C55E6"/>
    <w:rsid w:val="4CCC79C7"/>
    <w:rsid w:val="4D0B5439"/>
    <w:rsid w:val="4D553CBF"/>
    <w:rsid w:val="4D7555C7"/>
    <w:rsid w:val="4DF07D79"/>
    <w:rsid w:val="4DF65A5C"/>
    <w:rsid w:val="4E4A59C3"/>
    <w:rsid w:val="4E8D742E"/>
    <w:rsid w:val="4EAE6DA0"/>
    <w:rsid w:val="4EB8094F"/>
    <w:rsid w:val="4FA72771"/>
    <w:rsid w:val="4FCF2EA3"/>
    <w:rsid w:val="4FE617D9"/>
    <w:rsid w:val="4FE707F9"/>
    <w:rsid w:val="5016514B"/>
    <w:rsid w:val="506316FD"/>
    <w:rsid w:val="50BD4DF3"/>
    <w:rsid w:val="50CF0EE9"/>
    <w:rsid w:val="50FC1A26"/>
    <w:rsid w:val="513B2CE7"/>
    <w:rsid w:val="51723664"/>
    <w:rsid w:val="51771629"/>
    <w:rsid w:val="517D392F"/>
    <w:rsid w:val="51BB7195"/>
    <w:rsid w:val="51CB1C78"/>
    <w:rsid w:val="51FD6A51"/>
    <w:rsid w:val="521D240A"/>
    <w:rsid w:val="52224331"/>
    <w:rsid w:val="526B680A"/>
    <w:rsid w:val="52836F71"/>
    <w:rsid w:val="52D26B02"/>
    <w:rsid w:val="531358A6"/>
    <w:rsid w:val="53394028"/>
    <w:rsid w:val="53671FD0"/>
    <w:rsid w:val="53D61877"/>
    <w:rsid w:val="53F61222"/>
    <w:rsid w:val="54161C73"/>
    <w:rsid w:val="541A5D30"/>
    <w:rsid w:val="5463070C"/>
    <w:rsid w:val="549239F0"/>
    <w:rsid w:val="54B41D8E"/>
    <w:rsid w:val="55102B67"/>
    <w:rsid w:val="55132D9D"/>
    <w:rsid w:val="556A0B5D"/>
    <w:rsid w:val="55C1559C"/>
    <w:rsid w:val="55F068CD"/>
    <w:rsid w:val="566C3136"/>
    <w:rsid w:val="56823A8C"/>
    <w:rsid w:val="568D04F2"/>
    <w:rsid w:val="56A61510"/>
    <w:rsid w:val="5730194A"/>
    <w:rsid w:val="57733ECF"/>
    <w:rsid w:val="578B0CFA"/>
    <w:rsid w:val="57ED4306"/>
    <w:rsid w:val="580845C6"/>
    <w:rsid w:val="587F6530"/>
    <w:rsid w:val="58873140"/>
    <w:rsid w:val="58F17C86"/>
    <w:rsid w:val="590C7CEE"/>
    <w:rsid w:val="593C217C"/>
    <w:rsid w:val="59513E7A"/>
    <w:rsid w:val="5A0B43C0"/>
    <w:rsid w:val="5A296BA4"/>
    <w:rsid w:val="5A526582"/>
    <w:rsid w:val="5A5F5C77"/>
    <w:rsid w:val="5A711A0D"/>
    <w:rsid w:val="5ABD44F9"/>
    <w:rsid w:val="5B1613E4"/>
    <w:rsid w:val="5B2568B5"/>
    <w:rsid w:val="5B78003B"/>
    <w:rsid w:val="5BAF30D9"/>
    <w:rsid w:val="5BC11A60"/>
    <w:rsid w:val="5C0A47B4"/>
    <w:rsid w:val="5C7A4D54"/>
    <w:rsid w:val="5CBF7A3A"/>
    <w:rsid w:val="5CC86079"/>
    <w:rsid w:val="5CD23B73"/>
    <w:rsid w:val="5CD57954"/>
    <w:rsid w:val="5D366E68"/>
    <w:rsid w:val="5D3D462F"/>
    <w:rsid w:val="5D5A77C0"/>
    <w:rsid w:val="5DAA0B9B"/>
    <w:rsid w:val="5DC14E75"/>
    <w:rsid w:val="5E1C65B7"/>
    <w:rsid w:val="5E231B5D"/>
    <w:rsid w:val="5E2C3A34"/>
    <w:rsid w:val="5F127819"/>
    <w:rsid w:val="5F645F89"/>
    <w:rsid w:val="5FA62A45"/>
    <w:rsid w:val="60350ED3"/>
    <w:rsid w:val="60B72AEE"/>
    <w:rsid w:val="60EF0689"/>
    <w:rsid w:val="60F650B9"/>
    <w:rsid w:val="60F872D1"/>
    <w:rsid w:val="61025188"/>
    <w:rsid w:val="61057D5F"/>
    <w:rsid w:val="614D4977"/>
    <w:rsid w:val="61704C00"/>
    <w:rsid w:val="619A3EE4"/>
    <w:rsid w:val="61AB58A8"/>
    <w:rsid w:val="61E33ADD"/>
    <w:rsid w:val="626D25CE"/>
    <w:rsid w:val="62CE1B77"/>
    <w:rsid w:val="63C60FC0"/>
    <w:rsid w:val="63CB2A7A"/>
    <w:rsid w:val="643B4928"/>
    <w:rsid w:val="64563013"/>
    <w:rsid w:val="64BA3D7A"/>
    <w:rsid w:val="64F179BC"/>
    <w:rsid w:val="65323AFA"/>
    <w:rsid w:val="654A23E3"/>
    <w:rsid w:val="65815634"/>
    <w:rsid w:val="658971CF"/>
    <w:rsid w:val="660A2050"/>
    <w:rsid w:val="66127E0B"/>
    <w:rsid w:val="662D4693"/>
    <w:rsid w:val="665704D3"/>
    <w:rsid w:val="666424CB"/>
    <w:rsid w:val="6683763C"/>
    <w:rsid w:val="669944D9"/>
    <w:rsid w:val="66F64C08"/>
    <w:rsid w:val="67201527"/>
    <w:rsid w:val="673E5FF3"/>
    <w:rsid w:val="67A140FF"/>
    <w:rsid w:val="67C065A4"/>
    <w:rsid w:val="67D359C9"/>
    <w:rsid w:val="68042537"/>
    <w:rsid w:val="68077DF9"/>
    <w:rsid w:val="68103BDF"/>
    <w:rsid w:val="6885320B"/>
    <w:rsid w:val="68E2428E"/>
    <w:rsid w:val="68FE36DD"/>
    <w:rsid w:val="694E60FC"/>
    <w:rsid w:val="696702F4"/>
    <w:rsid w:val="6A256904"/>
    <w:rsid w:val="6A2C1D99"/>
    <w:rsid w:val="6A7476FC"/>
    <w:rsid w:val="6A8D19A0"/>
    <w:rsid w:val="6AA33E09"/>
    <w:rsid w:val="6AAA163C"/>
    <w:rsid w:val="6B3C624F"/>
    <w:rsid w:val="6B656832"/>
    <w:rsid w:val="6B6D5B3B"/>
    <w:rsid w:val="6BA22313"/>
    <w:rsid w:val="6BAA76A3"/>
    <w:rsid w:val="6C675CE6"/>
    <w:rsid w:val="6D0072BA"/>
    <w:rsid w:val="6D4F4321"/>
    <w:rsid w:val="6DF41B82"/>
    <w:rsid w:val="6DFF7360"/>
    <w:rsid w:val="6E035DE2"/>
    <w:rsid w:val="6E3F02ED"/>
    <w:rsid w:val="6E58315D"/>
    <w:rsid w:val="6E7A5F73"/>
    <w:rsid w:val="6ECC36A0"/>
    <w:rsid w:val="6EE90F9D"/>
    <w:rsid w:val="6F1D7B64"/>
    <w:rsid w:val="6FAC2EF6"/>
    <w:rsid w:val="6FB6454A"/>
    <w:rsid w:val="6FD74228"/>
    <w:rsid w:val="7021106F"/>
    <w:rsid w:val="702754DC"/>
    <w:rsid w:val="70B474DA"/>
    <w:rsid w:val="71175551"/>
    <w:rsid w:val="71343F16"/>
    <w:rsid w:val="71462F6F"/>
    <w:rsid w:val="71633091"/>
    <w:rsid w:val="71874904"/>
    <w:rsid w:val="71C23301"/>
    <w:rsid w:val="71C617F4"/>
    <w:rsid w:val="71F43290"/>
    <w:rsid w:val="71F8286E"/>
    <w:rsid w:val="72361A07"/>
    <w:rsid w:val="725A270A"/>
    <w:rsid w:val="72620EA6"/>
    <w:rsid w:val="73081CA5"/>
    <w:rsid w:val="73136EFB"/>
    <w:rsid w:val="73275BE6"/>
    <w:rsid w:val="733A4FAC"/>
    <w:rsid w:val="735A5BA1"/>
    <w:rsid w:val="73E831D5"/>
    <w:rsid w:val="74100036"/>
    <w:rsid w:val="74201F7D"/>
    <w:rsid w:val="742F6FCE"/>
    <w:rsid w:val="74477EFB"/>
    <w:rsid w:val="7487762D"/>
    <w:rsid w:val="74C33AA4"/>
    <w:rsid w:val="74F93837"/>
    <w:rsid w:val="75210D7A"/>
    <w:rsid w:val="75385498"/>
    <w:rsid w:val="754C4174"/>
    <w:rsid w:val="754E5C03"/>
    <w:rsid w:val="75680129"/>
    <w:rsid w:val="757D16FB"/>
    <w:rsid w:val="759D79FA"/>
    <w:rsid w:val="75AE0CEB"/>
    <w:rsid w:val="75F37776"/>
    <w:rsid w:val="7621477C"/>
    <w:rsid w:val="76BC207F"/>
    <w:rsid w:val="76D96B8B"/>
    <w:rsid w:val="76EB4904"/>
    <w:rsid w:val="771C566F"/>
    <w:rsid w:val="77645DCD"/>
    <w:rsid w:val="777378F5"/>
    <w:rsid w:val="777A2D3C"/>
    <w:rsid w:val="77C62D85"/>
    <w:rsid w:val="77F3529B"/>
    <w:rsid w:val="7838290E"/>
    <w:rsid w:val="78A715E8"/>
    <w:rsid w:val="79074B81"/>
    <w:rsid w:val="794F0939"/>
    <w:rsid w:val="79AF0FCA"/>
    <w:rsid w:val="7A1044F1"/>
    <w:rsid w:val="7A2D43C7"/>
    <w:rsid w:val="7A88301C"/>
    <w:rsid w:val="7AF9279C"/>
    <w:rsid w:val="7BCA404B"/>
    <w:rsid w:val="7C1B3F81"/>
    <w:rsid w:val="7C5D0785"/>
    <w:rsid w:val="7C722BF6"/>
    <w:rsid w:val="7CC51958"/>
    <w:rsid w:val="7CD53DF9"/>
    <w:rsid w:val="7D097C86"/>
    <w:rsid w:val="7DC611DD"/>
    <w:rsid w:val="7DD87E16"/>
    <w:rsid w:val="7E2936C3"/>
    <w:rsid w:val="7E6411B9"/>
    <w:rsid w:val="7EA92E9E"/>
    <w:rsid w:val="7EC169E3"/>
    <w:rsid w:val="7ED45C48"/>
    <w:rsid w:val="7F5B2D73"/>
    <w:rsid w:val="7F7B14DF"/>
    <w:rsid w:val="7FB623D9"/>
    <w:rsid w:val="7FE6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0"/>
    <w:autoRedefine/>
    <w:qFormat/>
    <w:uiPriority w:val="9"/>
    <w:pPr>
      <w:keepNext/>
      <w:keepLines/>
      <w:spacing w:before="340" w:after="330" w:line="578" w:lineRule="auto"/>
      <w:outlineLvl w:val="0"/>
    </w:pPr>
    <w:rPr>
      <w:b/>
      <w:bCs/>
      <w:kern w:val="44"/>
      <w:sz w:val="44"/>
      <w:szCs w:val="44"/>
    </w:rPr>
  </w:style>
  <w:style w:type="paragraph" w:styleId="3">
    <w:name w:val="heading 2"/>
    <w:basedOn w:val="4"/>
    <w:next w:val="1"/>
    <w:autoRedefine/>
    <w:qFormat/>
    <w:uiPriority w:val="0"/>
    <w:pPr>
      <w:spacing w:line="415" w:lineRule="auto"/>
      <w:outlineLvl w:val="1"/>
    </w:pPr>
    <w:rPr>
      <w:rFonts w:ascii="Arial" w:hAnsi="Arial" w:eastAsia="黑体" w:cs="Arial"/>
    </w:rPr>
  </w:style>
  <w:style w:type="paragraph" w:styleId="4">
    <w:name w:val="heading 3"/>
    <w:basedOn w:val="1"/>
    <w:next w:val="1"/>
    <w:link w:val="62"/>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7"/>
    <w:autoRedefine/>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9"/>
    <w:autoRedefine/>
    <w:qFormat/>
    <w:uiPriority w:val="0"/>
    <w:pPr>
      <w:jc w:val="left"/>
    </w:pPr>
    <w:rPr>
      <w:rFonts w:ascii="Arial" w:hAnsi="Arial" w:eastAsia="黑体" w:cs="Arial"/>
    </w:rPr>
  </w:style>
  <w:style w:type="paragraph" w:styleId="9">
    <w:name w:val="Body Text"/>
    <w:basedOn w:val="1"/>
    <w:autoRedefine/>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autoRedefine/>
    <w:qFormat/>
    <w:uiPriority w:val="0"/>
    <w:pPr>
      <w:spacing w:after="120"/>
      <w:ind w:left="420" w:leftChars="200"/>
    </w:pPr>
  </w:style>
  <w:style w:type="paragraph" w:styleId="11">
    <w:name w:val="envelope return"/>
    <w:basedOn w:val="1"/>
    <w:next w:val="6"/>
    <w:qFormat/>
    <w:uiPriority w:val="0"/>
    <w:pPr>
      <w:snapToGrid w:val="0"/>
    </w:pPr>
    <w:rPr>
      <w:rFonts w:ascii="Arial" w:hAnsi="Arial"/>
    </w:rPr>
  </w:style>
  <w:style w:type="paragraph" w:styleId="12">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49"/>
    <w:autoRedefine/>
    <w:qFormat/>
    <w:uiPriority w:val="99"/>
    <w:rPr>
      <w:rFonts w:ascii="宋体" w:hAnsi="Courier New" w:eastAsiaTheme="minorEastAsia" w:cstheme="minorBidi"/>
      <w:szCs w:val="22"/>
    </w:rPr>
  </w:style>
  <w:style w:type="paragraph" w:styleId="14">
    <w:name w:val="Date"/>
    <w:basedOn w:val="1"/>
    <w:next w:val="1"/>
    <w:link w:val="56"/>
    <w:autoRedefine/>
    <w:qFormat/>
    <w:uiPriority w:val="0"/>
    <w:rPr>
      <w:rFonts w:ascii="Arial" w:hAnsi="Arial" w:eastAsia="宋体" w:cs="Arial"/>
      <w:b/>
      <w:sz w:val="28"/>
    </w:rPr>
  </w:style>
  <w:style w:type="paragraph" w:styleId="15">
    <w:name w:val="Balloon Text"/>
    <w:basedOn w:val="1"/>
    <w:link w:val="43"/>
    <w:autoRedefine/>
    <w:semiHidden/>
    <w:unhideWhenUsed/>
    <w:qFormat/>
    <w:uiPriority w:val="99"/>
    <w:rPr>
      <w:sz w:val="18"/>
      <w:szCs w:val="18"/>
    </w:rPr>
  </w:style>
  <w:style w:type="paragraph" w:styleId="16">
    <w:name w:val="footer"/>
    <w:basedOn w:val="1"/>
    <w:link w:val="48"/>
    <w:autoRedefine/>
    <w:unhideWhenUsed/>
    <w:qFormat/>
    <w:uiPriority w:val="99"/>
    <w:pPr>
      <w:tabs>
        <w:tab w:val="center" w:pos="4153"/>
        <w:tab w:val="right" w:pos="8306"/>
      </w:tabs>
      <w:snapToGrid w:val="0"/>
      <w:jc w:val="left"/>
    </w:pPr>
    <w:rPr>
      <w:sz w:val="18"/>
      <w:szCs w:val="18"/>
    </w:rPr>
  </w:style>
  <w:style w:type="paragraph" w:styleId="17">
    <w:name w:val="header"/>
    <w:basedOn w:val="1"/>
    <w:link w:val="4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Body Text 2"/>
    <w:basedOn w:val="1"/>
    <w:qFormat/>
    <w:uiPriority w:val="99"/>
    <w:pPr>
      <w:jc w:val="left"/>
    </w:pPr>
    <w:rPr>
      <w:rFonts w:ascii="仿宋_GB2312" w:hAnsi="宋体" w:eastAsia="仿宋_GB2312" w:cs="Times New Roman"/>
      <w:szCs w:val="22"/>
    </w:rPr>
  </w:style>
  <w:style w:type="paragraph" w:styleId="21">
    <w:name w:val="List 4"/>
    <w:basedOn w:val="1"/>
    <w:qFormat/>
    <w:uiPriority w:val="0"/>
    <w:pPr>
      <w:ind w:left="1680" w:hanging="420"/>
    </w:p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8"/>
    <w:next w:val="8"/>
    <w:link w:val="70"/>
    <w:autoRedefine/>
    <w:semiHidden/>
    <w:unhideWhenUsed/>
    <w:qFormat/>
    <w:uiPriority w:val="99"/>
    <w:rPr>
      <w:rFonts w:ascii="@仿宋_GB2312" w:hAnsi="@仿宋_GB2312" w:eastAsia="@仿宋_GB2312" w:cs="@仿宋_GB2312"/>
      <w:b/>
      <w:bCs/>
    </w:rPr>
  </w:style>
  <w:style w:type="paragraph" w:styleId="25">
    <w:name w:val="Body Text First Indent"/>
    <w:basedOn w:val="9"/>
    <w:autoRedefine/>
    <w:unhideWhenUsed/>
    <w:qFormat/>
    <w:uiPriority w:val="99"/>
    <w:pPr>
      <w:ind w:firstLine="420" w:firstLineChars="100"/>
    </w:pPr>
  </w:style>
  <w:style w:type="paragraph" w:styleId="26">
    <w:name w:val="Body Text First Indent 2"/>
    <w:basedOn w:val="10"/>
    <w:next w:val="1"/>
    <w:qFormat/>
    <w:uiPriority w:val="0"/>
    <w:pPr>
      <w:ind w:firstLine="420" w:firstLineChars="200"/>
    </w:p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0"/>
    <w:rPr>
      <w:b/>
      <w:bCs/>
    </w:rPr>
  </w:style>
  <w:style w:type="character" w:styleId="31">
    <w:name w:val="FollowedHyperlink"/>
    <w:basedOn w:val="29"/>
    <w:semiHidden/>
    <w:unhideWhenUsed/>
    <w:qFormat/>
    <w:uiPriority w:val="99"/>
    <w:rPr>
      <w:color w:val="800080"/>
      <w:u w:val="none"/>
    </w:rPr>
  </w:style>
  <w:style w:type="character" w:styleId="32">
    <w:name w:val="HTML Definition"/>
    <w:basedOn w:val="29"/>
    <w:semiHidden/>
    <w:unhideWhenUsed/>
    <w:qFormat/>
    <w:uiPriority w:val="99"/>
  </w:style>
  <w:style w:type="character" w:styleId="33">
    <w:name w:val="HTML Typewriter"/>
    <w:basedOn w:val="29"/>
    <w:semiHidden/>
    <w:unhideWhenUsed/>
    <w:qFormat/>
    <w:uiPriority w:val="99"/>
    <w:rPr>
      <w:rFonts w:ascii="monospace" w:hAnsi="monospace" w:eastAsia="monospace" w:cs="monospace"/>
      <w:sz w:val="20"/>
    </w:rPr>
  </w:style>
  <w:style w:type="character" w:styleId="34">
    <w:name w:val="HTML Acronym"/>
    <w:basedOn w:val="29"/>
    <w:semiHidden/>
    <w:unhideWhenUsed/>
    <w:qFormat/>
    <w:uiPriority w:val="99"/>
  </w:style>
  <w:style w:type="character" w:styleId="35">
    <w:name w:val="HTML Variable"/>
    <w:basedOn w:val="29"/>
    <w:semiHidden/>
    <w:unhideWhenUsed/>
    <w:qFormat/>
    <w:uiPriority w:val="99"/>
  </w:style>
  <w:style w:type="character" w:styleId="36">
    <w:name w:val="Hyperlink"/>
    <w:basedOn w:val="29"/>
    <w:autoRedefine/>
    <w:unhideWhenUsed/>
    <w:qFormat/>
    <w:uiPriority w:val="99"/>
    <w:rPr>
      <w:color w:val="0000FF" w:themeColor="hyperlink"/>
      <w:u w:val="single"/>
      <w14:textFill>
        <w14:solidFill>
          <w14:schemeClr w14:val="hlink"/>
        </w14:solidFill>
      </w14:textFill>
    </w:rPr>
  </w:style>
  <w:style w:type="character" w:styleId="37">
    <w:name w:val="HTML Code"/>
    <w:basedOn w:val="29"/>
    <w:semiHidden/>
    <w:unhideWhenUsed/>
    <w:qFormat/>
    <w:uiPriority w:val="99"/>
    <w:rPr>
      <w:rFonts w:hint="default" w:ascii="monospace" w:hAnsi="monospace" w:eastAsia="monospace" w:cs="monospace"/>
      <w:sz w:val="20"/>
    </w:rPr>
  </w:style>
  <w:style w:type="character" w:styleId="38">
    <w:name w:val="annotation reference"/>
    <w:basedOn w:val="29"/>
    <w:autoRedefine/>
    <w:semiHidden/>
    <w:unhideWhenUsed/>
    <w:qFormat/>
    <w:uiPriority w:val="99"/>
    <w:rPr>
      <w:sz w:val="21"/>
      <w:szCs w:val="21"/>
    </w:rPr>
  </w:style>
  <w:style w:type="character" w:styleId="39">
    <w:name w:val="HTML Cite"/>
    <w:basedOn w:val="29"/>
    <w:semiHidden/>
    <w:unhideWhenUsed/>
    <w:qFormat/>
    <w:uiPriority w:val="99"/>
  </w:style>
  <w:style w:type="character" w:styleId="40">
    <w:name w:val="HTML Keyboard"/>
    <w:basedOn w:val="29"/>
    <w:semiHidden/>
    <w:unhideWhenUsed/>
    <w:qFormat/>
    <w:uiPriority w:val="99"/>
    <w:rPr>
      <w:rFonts w:hint="default" w:ascii="monospace" w:hAnsi="monospace" w:eastAsia="monospace" w:cs="monospace"/>
      <w:sz w:val="20"/>
    </w:rPr>
  </w:style>
  <w:style w:type="character" w:styleId="41">
    <w:name w:val="HTML Sample"/>
    <w:basedOn w:val="29"/>
    <w:semiHidden/>
    <w:unhideWhenUsed/>
    <w:qFormat/>
    <w:uiPriority w:val="99"/>
    <w:rPr>
      <w:rFonts w:hint="default" w:ascii="monospace" w:hAnsi="monospace" w:eastAsia="monospace" w:cs="monospace"/>
    </w:rPr>
  </w:style>
  <w:style w:type="paragraph" w:customStyle="1" w:styleId="42">
    <w:name w:val="表格文字"/>
    <w:basedOn w:val="1"/>
    <w:qFormat/>
    <w:uiPriority w:val="0"/>
    <w:rPr>
      <w:bCs/>
      <w:spacing w:val="10"/>
      <w:szCs w:val="20"/>
    </w:rPr>
  </w:style>
  <w:style w:type="character" w:customStyle="1" w:styleId="43">
    <w:name w:val="批注框文本 字符"/>
    <w:basedOn w:val="29"/>
    <w:link w:val="15"/>
    <w:autoRedefine/>
    <w:semiHidden/>
    <w:qFormat/>
    <w:uiPriority w:val="99"/>
    <w:rPr>
      <w:rFonts w:ascii="@仿宋_GB2312" w:hAnsi="@仿宋_GB2312" w:eastAsia="@仿宋_GB2312" w:cs="@仿宋_GB2312"/>
      <w:sz w:val="18"/>
      <w:szCs w:val="18"/>
    </w:rPr>
  </w:style>
  <w:style w:type="paragraph" w:customStyle="1" w:styleId="44">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6">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9"/>
    <w:link w:val="17"/>
    <w:autoRedefine/>
    <w:qFormat/>
    <w:uiPriority w:val="99"/>
    <w:rPr>
      <w:rFonts w:ascii="@仿宋_GB2312" w:hAnsi="@仿宋_GB2312" w:eastAsia="@仿宋_GB2312" w:cs="@仿宋_GB2312"/>
      <w:sz w:val="18"/>
      <w:szCs w:val="18"/>
    </w:rPr>
  </w:style>
  <w:style w:type="character" w:customStyle="1" w:styleId="48">
    <w:name w:val="页脚 字符"/>
    <w:basedOn w:val="29"/>
    <w:link w:val="16"/>
    <w:autoRedefine/>
    <w:qFormat/>
    <w:uiPriority w:val="99"/>
    <w:rPr>
      <w:rFonts w:ascii="@仿宋_GB2312" w:hAnsi="@仿宋_GB2312" w:eastAsia="@仿宋_GB2312" w:cs="@仿宋_GB2312"/>
      <w:sz w:val="18"/>
      <w:szCs w:val="18"/>
    </w:rPr>
  </w:style>
  <w:style w:type="character" w:customStyle="1" w:styleId="49">
    <w:name w:val="纯文本 字符"/>
    <w:link w:val="13"/>
    <w:autoRedefine/>
    <w:qFormat/>
    <w:uiPriority w:val="0"/>
    <w:rPr>
      <w:rFonts w:ascii="宋体" w:hAnsi="Courier New"/>
    </w:rPr>
  </w:style>
  <w:style w:type="character" w:customStyle="1" w:styleId="50">
    <w:name w:val="纯文本 字符1"/>
    <w:basedOn w:val="29"/>
    <w:autoRedefine/>
    <w:semiHidden/>
    <w:qFormat/>
    <w:uiPriority w:val="99"/>
    <w:rPr>
      <w:rFonts w:hAnsi="Courier New" w:cs="Courier New" w:asciiTheme="minorEastAsia"/>
      <w:szCs w:val="20"/>
    </w:rPr>
  </w:style>
  <w:style w:type="character" w:customStyle="1" w:styleId="51">
    <w:name w:val="未处理的提及1"/>
    <w:basedOn w:val="29"/>
    <w:autoRedefine/>
    <w:semiHidden/>
    <w:unhideWhenUsed/>
    <w:qFormat/>
    <w:uiPriority w:val="99"/>
    <w:rPr>
      <w:color w:val="605E5C"/>
      <w:shd w:val="clear" w:color="auto" w:fill="E1DFDD"/>
    </w:rPr>
  </w:style>
  <w:style w:type="paragraph" w:styleId="52">
    <w:name w:val="List Paragraph"/>
    <w:basedOn w:val="1"/>
    <w:autoRedefine/>
    <w:qFormat/>
    <w:uiPriority w:val="34"/>
    <w:pPr>
      <w:ind w:firstLine="420" w:firstLineChars="200"/>
    </w:pPr>
  </w:style>
  <w:style w:type="paragraph" w:customStyle="1" w:styleId="53">
    <w:name w:val="Char Char Char Char Char Char Char1 Char"/>
    <w:basedOn w:val="1"/>
    <w:autoRedefine/>
    <w:qFormat/>
    <w:uiPriority w:val="0"/>
    <w:rPr>
      <w:rFonts w:ascii="Arial" w:hAnsi="Arial" w:eastAsia="宋体" w:cs="Arial"/>
      <w:sz w:val="24"/>
    </w:rPr>
  </w:style>
  <w:style w:type="table" w:customStyle="1" w:styleId="54">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9"/>
    <w:autoRedefine/>
    <w:semiHidden/>
    <w:qFormat/>
    <w:uiPriority w:val="99"/>
    <w:rPr>
      <w:rFonts w:ascii="@仿宋_GB2312" w:hAnsi="@仿宋_GB2312" w:eastAsia="@仿宋_GB2312" w:cs="@仿宋_GB2312"/>
      <w:szCs w:val="20"/>
    </w:rPr>
  </w:style>
  <w:style w:type="character" w:customStyle="1" w:styleId="56">
    <w:name w:val="日期 字符1"/>
    <w:link w:val="14"/>
    <w:autoRedefine/>
    <w:qFormat/>
    <w:uiPriority w:val="0"/>
    <w:rPr>
      <w:rFonts w:ascii="Arial" w:hAnsi="Arial" w:eastAsia="宋体" w:cs="Arial"/>
      <w:b/>
      <w:sz w:val="28"/>
      <w:szCs w:val="20"/>
    </w:rPr>
  </w:style>
  <w:style w:type="character" w:customStyle="1" w:styleId="57">
    <w:name w:val="纯文本 Char1"/>
    <w:autoRedefine/>
    <w:qFormat/>
    <w:locked/>
    <w:uiPriority w:val="99"/>
    <w:rPr>
      <w:rFonts w:ascii="Arial" w:hAnsi="Arial" w:eastAsia="Arial"/>
      <w:kern w:val="2"/>
      <w:sz w:val="21"/>
      <w:lang w:val="en-US" w:eastAsia="zh-CN" w:bidi="ar-SA"/>
    </w:rPr>
  </w:style>
  <w:style w:type="character" w:customStyle="1" w:styleId="58">
    <w:name w:val="批注文字 Char"/>
    <w:basedOn w:val="29"/>
    <w:autoRedefine/>
    <w:semiHidden/>
    <w:qFormat/>
    <w:uiPriority w:val="99"/>
    <w:rPr>
      <w:rFonts w:ascii="@仿宋_GB2312" w:hAnsi="@仿宋_GB2312" w:eastAsia="@仿宋_GB2312" w:cs="@仿宋_GB2312"/>
      <w:szCs w:val="20"/>
    </w:rPr>
  </w:style>
  <w:style w:type="character" w:customStyle="1" w:styleId="59">
    <w:name w:val="批注文字 字符"/>
    <w:link w:val="8"/>
    <w:autoRedefine/>
    <w:qFormat/>
    <w:uiPriority w:val="0"/>
    <w:rPr>
      <w:rFonts w:ascii="Arial" w:hAnsi="Arial" w:eastAsia="黑体" w:cs="Arial"/>
      <w:szCs w:val="20"/>
    </w:rPr>
  </w:style>
  <w:style w:type="character" w:customStyle="1" w:styleId="60">
    <w:name w:val="标题 1 字符"/>
    <w:basedOn w:val="29"/>
    <w:link w:val="2"/>
    <w:autoRedefine/>
    <w:qFormat/>
    <w:uiPriority w:val="9"/>
    <w:rPr>
      <w:rFonts w:ascii="@仿宋_GB2312" w:hAnsi="@仿宋_GB2312" w:eastAsia="@仿宋_GB2312" w:cs="@仿宋_GB2312"/>
      <w:b/>
      <w:bCs/>
      <w:kern w:val="44"/>
      <w:sz w:val="44"/>
      <w:szCs w:val="44"/>
    </w:rPr>
  </w:style>
  <w:style w:type="paragraph" w:customStyle="1" w:styleId="61">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标题 3 字符"/>
    <w:basedOn w:val="29"/>
    <w:link w:val="4"/>
    <w:autoRedefine/>
    <w:semiHidden/>
    <w:qFormat/>
    <w:uiPriority w:val="9"/>
    <w:rPr>
      <w:rFonts w:ascii="@仿宋_GB2312" w:hAnsi="@仿宋_GB2312" w:eastAsia="@仿宋_GB2312" w:cs="@仿宋_GB2312"/>
      <w:b/>
      <w:bCs/>
      <w:sz w:val="32"/>
      <w:szCs w:val="32"/>
    </w:rPr>
  </w:style>
  <w:style w:type="character" w:customStyle="1" w:styleId="63">
    <w:name w:val="fontstyle01"/>
    <w:basedOn w:val="29"/>
    <w:autoRedefine/>
    <w:qFormat/>
    <w:uiPriority w:val="0"/>
    <w:rPr>
      <w:rFonts w:hint="eastAsia" w:ascii="宋体" w:hAnsi="宋体" w:eastAsia="宋体"/>
      <w:color w:val="000000"/>
      <w:sz w:val="22"/>
      <w:szCs w:val="22"/>
    </w:rPr>
  </w:style>
  <w:style w:type="character" w:customStyle="1" w:styleId="64">
    <w:name w:val="fontstyle21"/>
    <w:basedOn w:val="29"/>
    <w:autoRedefine/>
    <w:qFormat/>
    <w:uiPriority w:val="0"/>
    <w:rPr>
      <w:rFonts w:hint="default" w:ascii="TimesNewRomanPSMT" w:hAnsi="TimesNewRomanPSMT"/>
      <w:color w:val="000000"/>
      <w:sz w:val="22"/>
      <w:szCs w:val="22"/>
    </w:rPr>
  </w:style>
  <w:style w:type="character" w:customStyle="1" w:styleId="65">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6">
    <w:name w:val="标题 4 字符"/>
    <w:basedOn w:val="29"/>
    <w:autoRedefine/>
    <w:semiHidden/>
    <w:qFormat/>
    <w:uiPriority w:val="9"/>
    <w:rPr>
      <w:rFonts w:asciiTheme="majorHAnsi" w:hAnsiTheme="majorHAnsi" w:eastAsiaTheme="majorEastAsia" w:cstheme="majorBidi"/>
      <w:b/>
      <w:bCs/>
      <w:sz w:val="28"/>
      <w:szCs w:val="28"/>
    </w:rPr>
  </w:style>
  <w:style w:type="character" w:customStyle="1" w:styleId="67">
    <w:name w:val="标题 4 字符1"/>
    <w:link w:val="5"/>
    <w:autoRedefine/>
    <w:qFormat/>
    <w:uiPriority w:val="0"/>
    <w:rPr>
      <w:rFonts w:ascii="@仿宋_GB2312" w:hAnsi="@仿宋_GB2312" w:eastAsia="@仿宋_GB2312" w:cs="@仿宋_GB2312"/>
      <w:b/>
      <w:bCs/>
      <w:sz w:val="28"/>
      <w:szCs w:val="28"/>
    </w:rPr>
  </w:style>
  <w:style w:type="character" w:customStyle="1" w:styleId="68">
    <w:name w:val="标题 4 Char"/>
    <w:autoRedefine/>
    <w:qFormat/>
    <w:uiPriority w:val="0"/>
    <w:rPr>
      <w:rFonts w:ascii="Arial" w:hAnsi="Arial" w:eastAsia="Arial"/>
      <w:b/>
      <w:bCs/>
      <w:kern w:val="2"/>
      <w:sz w:val="28"/>
      <w:szCs w:val="28"/>
      <w:lang w:val="en-US" w:eastAsia="zh-CN" w:bidi="ar-SA"/>
    </w:rPr>
  </w:style>
  <w:style w:type="table" w:customStyle="1" w:styleId="69">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0">
    <w:name w:val="批注主题 字符"/>
    <w:basedOn w:val="59"/>
    <w:link w:val="24"/>
    <w:autoRedefine/>
    <w:semiHidden/>
    <w:qFormat/>
    <w:uiPriority w:val="99"/>
    <w:rPr>
      <w:rFonts w:ascii="@仿宋_GB2312" w:hAnsi="@仿宋_GB2312" w:eastAsia="@仿宋_GB2312" w:cs="@仿宋_GB2312"/>
      <w:b/>
      <w:bCs/>
      <w:szCs w:val="20"/>
    </w:rPr>
  </w:style>
  <w:style w:type="table" w:customStyle="1" w:styleId="71">
    <w:name w:val="Table Normal"/>
    <w:autoRedefine/>
    <w:semiHidden/>
    <w:unhideWhenUsed/>
    <w:qFormat/>
    <w:uiPriority w:val="0"/>
    <w:tblPr>
      <w:tblCellMar>
        <w:top w:w="0" w:type="dxa"/>
        <w:left w:w="0" w:type="dxa"/>
        <w:bottom w:w="0" w:type="dxa"/>
        <w:right w:w="0" w:type="dxa"/>
      </w:tblCellMar>
    </w:tblPr>
  </w:style>
  <w:style w:type="paragraph" w:customStyle="1" w:styleId="72">
    <w:name w:val="Table Text"/>
    <w:basedOn w:val="1"/>
    <w:autoRedefine/>
    <w:semiHidden/>
    <w:qFormat/>
    <w:uiPriority w:val="0"/>
    <w:rPr>
      <w:rFonts w:ascii="Arial" w:hAnsi="Arial" w:eastAsia="Arial" w:cs="Arial"/>
      <w:szCs w:val="21"/>
      <w:lang w:eastAsia="en-US"/>
    </w:rPr>
  </w:style>
  <w:style w:type="paragraph" w:customStyle="1" w:styleId="7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4">
    <w:name w:val="列出段落1"/>
    <w:basedOn w:val="1"/>
    <w:autoRedefine/>
    <w:qFormat/>
    <w:uiPriority w:val="0"/>
    <w:pPr>
      <w:ind w:firstLine="420" w:firstLineChars="200"/>
    </w:pPr>
    <w:rPr>
      <w:szCs w:val="21"/>
    </w:rPr>
  </w:style>
  <w:style w:type="character" w:customStyle="1" w:styleId="75">
    <w:name w:val="15"/>
    <w:basedOn w:val="29"/>
    <w:qFormat/>
    <w:uiPriority w:val="0"/>
    <w:rPr>
      <w:rFonts w:hint="default" w:ascii="Times New Roman" w:hAnsi="Times New Roman" w:cs="Times New Roman"/>
      <w:color w:val="0000FF"/>
      <w:u w:val="single"/>
    </w:rPr>
  </w:style>
  <w:style w:type="character" w:customStyle="1" w:styleId="76">
    <w:name w:val="10"/>
    <w:basedOn w:val="29"/>
    <w:qFormat/>
    <w:uiPriority w:val="0"/>
    <w:rPr>
      <w:rFonts w:hint="default" w:ascii="Times New Roman" w:hAnsi="Times New Roman" w:cs="Times New Roman"/>
    </w:rPr>
  </w:style>
  <w:style w:type="character" w:customStyle="1" w:styleId="77">
    <w:name w:val="first-child"/>
    <w:basedOn w:val="29"/>
    <w:qFormat/>
    <w:uiPriority w:val="0"/>
  </w:style>
  <w:style w:type="character" w:customStyle="1" w:styleId="78">
    <w:name w:val="layui-this"/>
    <w:basedOn w:val="29"/>
    <w:qFormat/>
    <w:uiPriority w:val="0"/>
    <w:rPr>
      <w:bdr w:val="single" w:color="EEEEEE" w:sz="6" w:space="0"/>
      <w:shd w:val="clear" w:color="auto" w:fill="FFFFFF"/>
    </w:rPr>
  </w:style>
  <w:style w:type="paragraph" w:customStyle="1" w:styleId="79">
    <w:name w:val="Table Paragraph"/>
    <w:basedOn w:val="1"/>
    <w:next w:val="21"/>
    <w:qFormat/>
    <w:uiPriority w:val="0"/>
    <w:rPr>
      <w:rFonts w:ascii="宋体" w:hAnsi="宋体" w:eastAsia="宋体" w:cs="宋体"/>
      <w:lang w:val="zh-CN" w:bidi="zh-CN"/>
    </w:rPr>
  </w:style>
  <w:style w:type="paragraph" w:customStyle="1" w:styleId="8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8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72</Pages>
  <Words>1378</Words>
  <Characters>1541</Characters>
  <Lines>1</Lines>
  <Paragraphs>1</Paragraphs>
  <TotalTime>2</TotalTime>
  <ScaleCrop>false</ScaleCrop>
  <LinksUpToDate>false</LinksUpToDate>
  <CharactersWithSpaces>1632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唐瘦瘦</cp:lastModifiedBy>
  <cp:lastPrinted>2026-04-20T03:16:00Z</cp:lastPrinted>
  <dcterms:modified xsi:type="dcterms:W3CDTF">2026-08-05T00:34:29Z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eyJoZGlkIjoiZjQ0ZWJmYWQwYTBiMjc0ZWQ5M2NkOGQ5MjEwNDA1NmMiLCJ1c2VySWQiOiI0NTAwNDIwODUifQ==</vt:lpwstr>
  </property>
</Properties>
</file>