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4F618">
      <w:pPr>
        <w:keepNext w:val="0"/>
        <w:keepLines w:val="0"/>
        <w:pageBreakBefore w:val="0"/>
        <w:widowControl w:val="0"/>
        <w:tabs>
          <w:tab w:val="left" w:pos="315"/>
          <w:tab w:val="left" w:pos="8400"/>
          <w:tab w:val="left" w:pos="8820"/>
        </w:tabs>
        <w:kinsoku/>
        <w:wordWrap/>
        <w:overflowPunct/>
        <w:topLinePunct w:val="0"/>
        <w:autoSpaceDE/>
        <w:autoSpaceDN/>
        <w:bidi w:val="0"/>
        <w:adjustRightInd/>
        <w:snapToGrid/>
        <w:spacing w:before="625" w:beforeLines="200" w:after="313" w:afterLines="100" w:line="720" w:lineRule="auto"/>
        <w:ind w:left="-401" w:leftChars="-293" w:right="-92" w:rightChars="-44" w:hanging="214" w:hangingChars="41"/>
        <w:jc w:val="center"/>
        <w:textAlignment w:val="auto"/>
        <w:rPr>
          <w:rFonts w:hint="eastAsia" w:ascii="黑体" w:hAnsi="黑体" w:eastAsia="黑体" w:cs="黑体"/>
          <w:b/>
          <w:bCs w:val="0"/>
          <w:color w:val="auto"/>
          <w:spacing w:val="20"/>
          <w:kern w:val="0"/>
          <w:sz w:val="48"/>
          <w:szCs w:val="48"/>
          <w:highlight w:val="none"/>
          <w:u w:val="none"/>
          <w:lang w:eastAsia="zh-CN" w:bidi="ar"/>
        </w:rPr>
      </w:pPr>
      <w:r>
        <w:rPr>
          <w:rFonts w:hint="eastAsia" w:ascii="黑体" w:hAnsi="黑体" w:eastAsia="黑体" w:cs="黑体"/>
          <w:b/>
          <w:bCs w:val="0"/>
          <w:color w:val="auto"/>
          <w:spacing w:val="20"/>
          <w:kern w:val="0"/>
          <w:sz w:val="48"/>
          <w:szCs w:val="48"/>
          <w:highlight w:val="none"/>
          <w:u w:val="none"/>
          <w:lang w:eastAsia="zh-CN" w:bidi="ar"/>
        </w:rPr>
        <w:t>滁州市第一人民医院使用后未被污染输液瓶（袋）及透析壶等回收项目（</w:t>
      </w:r>
      <w:r>
        <w:rPr>
          <w:rFonts w:hint="eastAsia" w:ascii="黑体" w:hAnsi="黑体" w:eastAsia="黑体" w:cs="黑体"/>
          <w:b/>
          <w:bCs w:val="0"/>
          <w:color w:val="auto"/>
          <w:spacing w:val="20"/>
          <w:kern w:val="0"/>
          <w:sz w:val="48"/>
          <w:szCs w:val="48"/>
          <w:highlight w:val="none"/>
          <w:u w:val="none"/>
          <w:lang w:val="en-US" w:eastAsia="zh-CN" w:bidi="ar"/>
        </w:rPr>
        <w:t>三次</w:t>
      </w:r>
      <w:r>
        <w:rPr>
          <w:rFonts w:hint="eastAsia" w:ascii="黑体" w:hAnsi="黑体" w:eastAsia="黑体" w:cs="黑体"/>
          <w:b/>
          <w:bCs w:val="0"/>
          <w:color w:val="auto"/>
          <w:spacing w:val="20"/>
          <w:kern w:val="0"/>
          <w:sz w:val="48"/>
          <w:szCs w:val="48"/>
          <w:highlight w:val="none"/>
          <w:u w:val="none"/>
          <w:lang w:eastAsia="zh-CN" w:bidi="ar"/>
        </w:rPr>
        <w:t>）</w:t>
      </w:r>
    </w:p>
    <w:p w14:paraId="0498E4A3">
      <w:pPr>
        <w:pStyle w:val="2"/>
        <w:rPr>
          <w:rFonts w:hint="eastAsia" w:ascii="宋体" w:hAnsi="宋体" w:eastAsia="宋体" w:cs="宋体"/>
          <w:b/>
          <w:color w:val="auto"/>
          <w:spacing w:val="20"/>
          <w:kern w:val="0"/>
          <w:sz w:val="32"/>
          <w:szCs w:val="32"/>
          <w:highlight w:val="none"/>
          <w:u w:val="single"/>
          <w:lang w:eastAsia="zh-CN" w:bidi="ar"/>
        </w:rPr>
      </w:pPr>
    </w:p>
    <w:p w14:paraId="5F25893F">
      <w:pPr>
        <w:pStyle w:val="2"/>
        <w:ind w:left="0" w:leftChars="0" w:firstLine="0" w:firstLineChars="0"/>
        <w:jc w:val="center"/>
        <w:rPr>
          <w:rFonts w:hint="default" w:ascii="宋体" w:hAnsi="宋体" w:eastAsia="宋体" w:cs="宋体"/>
          <w:b/>
          <w:color w:val="auto"/>
          <w:spacing w:val="20"/>
          <w:kern w:val="0"/>
          <w:sz w:val="72"/>
          <w:szCs w:val="72"/>
          <w:highlight w:val="none"/>
          <w:u w:val="none"/>
          <w:lang w:val="en-US" w:eastAsia="zh-CN" w:bidi="ar"/>
        </w:rPr>
      </w:pPr>
      <w:r>
        <w:rPr>
          <w:rFonts w:hint="eastAsia" w:ascii="宋体" w:hAnsi="宋体" w:eastAsia="宋体" w:cs="宋体"/>
          <w:b/>
          <w:color w:val="auto"/>
          <w:spacing w:val="20"/>
          <w:kern w:val="0"/>
          <w:sz w:val="72"/>
          <w:szCs w:val="72"/>
          <w:highlight w:val="none"/>
          <w:u w:val="none"/>
          <w:lang w:val="en-US" w:eastAsia="zh-CN" w:bidi="ar"/>
        </w:rPr>
        <w:t>招标文件</w:t>
      </w:r>
    </w:p>
    <w:p w14:paraId="2311E23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0021312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4685E3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02F3602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4142C1E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4A2E18A">
      <w:pPr>
        <w:pStyle w:val="2"/>
        <w:rPr>
          <w:rFonts w:hint="eastAsia"/>
          <w:color w:val="auto"/>
          <w:highlight w:val="none"/>
        </w:rPr>
      </w:pPr>
    </w:p>
    <w:p w14:paraId="289E037B">
      <w:pPr>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cs="宋体"/>
          <w:b/>
          <w:color w:val="auto"/>
          <w:spacing w:val="20"/>
          <w:kern w:val="0"/>
          <w:sz w:val="32"/>
          <w:szCs w:val="32"/>
          <w:highlight w:val="none"/>
          <w:lang w:bidi="ar"/>
        </w:rPr>
        <w:t>项目编号：</w:t>
      </w:r>
      <w:r>
        <w:rPr>
          <w:rFonts w:hint="eastAsia" w:ascii="宋体" w:hAnsi="宋体" w:eastAsia="宋体"/>
          <w:b/>
          <w:color w:val="auto"/>
          <w:spacing w:val="20"/>
          <w:kern w:val="0"/>
          <w:sz w:val="32"/>
          <w:szCs w:val="32"/>
          <w:highlight w:val="none"/>
          <w:u w:val="single"/>
          <w:lang w:eastAsia="zh-CN" w:bidi="ar"/>
        </w:rPr>
        <w:t>CZYY-2026-42</w:t>
      </w:r>
      <w:r>
        <w:rPr>
          <w:rFonts w:hint="eastAsia" w:ascii="宋体" w:hAnsi="宋体" w:eastAsia="宋体"/>
          <w:b/>
          <w:color w:val="auto"/>
          <w:spacing w:val="20"/>
          <w:kern w:val="0"/>
          <w:sz w:val="32"/>
          <w:szCs w:val="32"/>
          <w:highlight w:val="none"/>
          <w:u w:val="single"/>
          <w:lang w:val="en-US" w:eastAsia="zh-CN" w:bidi="ar"/>
        </w:rPr>
        <w:t xml:space="preserve"> </w:t>
      </w:r>
    </w:p>
    <w:p w14:paraId="50F8582E">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w:t>
      </w:r>
      <w:r>
        <w:rPr>
          <w:rFonts w:hint="eastAsia" w:ascii="宋体" w:hAnsi="宋体" w:eastAsia="宋体"/>
          <w:b/>
          <w:color w:val="auto"/>
          <w:spacing w:val="20"/>
          <w:kern w:val="0"/>
          <w:sz w:val="32"/>
          <w:szCs w:val="32"/>
          <w:highlight w:val="none"/>
          <w:lang w:bidi="ar"/>
        </w:rPr>
        <w:t xml:space="preserve"> </w:t>
      </w:r>
      <w:r>
        <w:rPr>
          <w:rFonts w:hint="eastAsia" w:ascii="宋体" w:hAnsi="宋体" w:eastAsia="宋体" w:cs="宋体"/>
          <w:b/>
          <w:color w:val="auto"/>
          <w:spacing w:val="20"/>
          <w:kern w:val="0"/>
          <w:sz w:val="32"/>
          <w:szCs w:val="32"/>
          <w:highlight w:val="none"/>
          <w:lang w:bidi="ar"/>
        </w:rPr>
        <w:t>购</w:t>
      </w:r>
      <w:r>
        <w:rPr>
          <w:rFonts w:hint="eastAsia" w:ascii="宋体" w:hAnsi="宋体" w:eastAsia="宋体"/>
          <w:b/>
          <w:color w:val="auto"/>
          <w:spacing w:val="20"/>
          <w:kern w:val="0"/>
          <w:sz w:val="32"/>
          <w:szCs w:val="32"/>
          <w:highlight w:val="none"/>
          <w:lang w:bidi="ar"/>
        </w:rPr>
        <w:t xml:space="preserve"> </w:t>
      </w:r>
      <w:r>
        <w:rPr>
          <w:rFonts w:hint="eastAsia" w:ascii="宋体" w:hAnsi="宋体" w:eastAsia="宋体" w:cs="宋体"/>
          <w:b/>
          <w:color w:val="auto"/>
          <w:spacing w:val="20"/>
          <w:kern w:val="0"/>
          <w:sz w:val="32"/>
          <w:szCs w:val="32"/>
          <w:highlight w:val="none"/>
          <w:lang w:bidi="ar"/>
        </w:rPr>
        <w:t>人：</w:t>
      </w:r>
      <w:r>
        <w:rPr>
          <w:rFonts w:hint="eastAsia" w:ascii="宋体" w:hAnsi="宋体" w:eastAsia="宋体" w:cs="宋体"/>
          <w:b/>
          <w:color w:val="auto"/>
          <w:spacing w:val="20"/>
          <w:kern w:val="0"/>
          <w:sz w:val="32"/>
          <w:szCs w:val="32"/>
          <w:highlight w:val="none"/>
          <w:u w:val="single"/>
          <w:lang w:bidi="ar"/>
        </w:rPr>
        <w:t>滁州市第一人民医院</w:t>
      </w:r>
    </w:p>
    <w:p w14:paraId="625BB606">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采购代理机构：</w:t>
      </w:r>
      <w:r>
        <w:rPr>
          <w:rFonts w:hint="eastAsia" w:ascii="宋体" w:hAnsi="宋体" w:eastAsia="宋体" w:cs="宋体"/>
          <w:b/>
          <w:color w:val="auto"/>
          <w:spacing w:val="20"/>
          <w:kern w:val="0"/>
          <w:sz w:val="32"/>
          <w:szCs w:val="32"/>
          <w:highlight w:val="none"/>
          <w:u w:val="single"/>
          <w:lang w:bidi="ar"/>
        </w:rPr>
        <w:t>安徽百士德工程咨询有限公司</w:t>
      </w:r>
    </w:p>
    <w:p w14:paraId="7362F1CC">
      <w:pPr>
        <w:spacing w:before="312" w:beforeLines="100" w:after="156" w:afterLines="50" w:line="500" w:lineRule="exact"/>
        <w:ind w:right="267" w:rightChars="127"/>
        <w:jc w:val="center"/>
        <w:rPr>
          <w:rFonts w:hint="eastAsia"/>
          <w:color w:val="auto"/>
          <w:highlight w:val="none"/>
        </w:rPr>
      </w:pPr>
      <w:r>
        <w:rPr>
          <w:rFonts w:hint="eastAsia" w:ascii="宋体" w:hAnsi="宋体" w:eastAsia="宋体" w:cs="宋体"/>
          <w:b/>
          <w:color w:val="auto"/>
          <w:sz w:val="36"/>
          <w:szCs w:val="36"/>
          <w:highlight w:val="none"/>
          <w:u w:val="single"/>
          <w:lang w:bidi="ar"/>
        </w:rPr>
        <w:t>202</w:t>
      </w:r>
      <w:r>
        <w:rPr>
          <w:rFonts w:hint="eastAsia" w:ascii="宋体" w:hAnsi="宋体" w:eastAsia="宋体" w:cs="宋体"/>
          <w:b/>
          <w:color w:val="auto"/>
          <w:sz w:val="36"/>
          <w:szCs w:val="36"/>
          <w:highlight w:val="none"/>
          <w:u w:val="single"/>
          <w:lang w:val="en-US" w:eastAsia="zh-CN" w:bidi="ar"/>
        </w:rPr>
        <w:t>6</w:t>
      </w:r>
      <w:r>
        <w:rPr>
          <w:rFonts w:hint="eastAsia" w:ascii="宋体" w:hAnsi="宋体" w:eastAsia="宋体" w:cs="宋体"/>
          <w:b/>
          <w:color w:val="auto"/>
          <w:sz w:val="36"/>
          <w:szCs w:val="36"/>
          <w:highlight w:val="none"/>
          <w:lang w:bidi="ar"/>
        </w:rPr>
        <w:t>年</w:t>
      </w:r>
      <w:r>
        <w:rPr>
          <w:rFonts w:hint="eastAsia" w:ascii="宋体" w:hAnsi="宋体" w:eastAsia="宋体" w:cs="宋体"/>
          <w:b/>
          <w:color w:val="auto"/>
          <w:sz w:val="36"/>
          <w:szCs w:val="36"/>
          <w:highlight w:val="none"/>
          <w:u w:val="single"/>
          <w:lang w:val="en-US" w:eastAsia="zh-CN" w:bidi="ar"/>
        </w:rPr>
        <w:t>9</w:t>
      </w:r>
      <w:r>
        <w:rPr>
          <w:rFonts w:hint="eastAsia" w:ascii="宋体" w:hAnsi="宋体" w:eastAsia="宋体" w:cs="宋体"/>
          <w:b/>
          <w:color w:val="auto"/>
          <w:sz w:val="36"/>
          <w:szCs w:val="36"/>
          <w:highlight w:val="none"/>
          <w:lang w:bidi="ar"/>
        </w:rPr>
        <w:t>月</w:t>
      </w:r>
    </w:p>
    <w:p w14:paraId="35E31559">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ascii="宋体" w:hAnsi="宋体" w:eastAsia="宋体"/>
          <w:b/>
          <w:color w:val="auto"/>
          <w:sz w:val="36"/>
          <w:highlight w:val="none"/>
        </w:rPr>
        <w:br w:type="page"/>
      </w:r>
      <w:r>
        <w:rPr>
          <w:rFonts w:hint="eastAsia" w:ascii="宋体" w:hAnsi="宋体" w:eastAsia="宋体"/>
          <w:b/>
          <w:color w:val="auto"/>
          <w:sz w:val="28"/>
          <w:highlight w:val="none"/>
        </w:rPr>
        <w:t>目  录</w:t>
      </w:r>
    </w:p>
    <w:p w14:paraId="443B3B34">
      <w:pPr>
        <w:pStyle w:val="19"/>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 w:val="24"/>
          <w:szCs w:val="24"/>
          <w:highlight w:val="none"/>
        </w:rPr>
        <w:fldChar w:fldCharType="begin"/>
      </w:r>
      <w:r>
        <w:rPr>
          <w:rFonts w:asciiTheme="minorEastAsia" w:hAnsiTheme="minorEastAsia"/>
          <w:color w:val="auto"/>
          <w:sz w:val="24"/>
          <w:szCs w:val="24"/>
          <w:highlight w:val="none"/>
        </w:rPr>
        <w:instrText xml:space="preserve"> HYPERLINK \l _Toc30922 </w:instrText>
      </w:r>
      <w:r>
        <w:rPr>
          <w:rFonts w:asciiTheme="minorEastAsia" w:hAnsi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 xml:space="preserve">第一章 </w:t>
      </w:r>
      <w:r>
        <w:rPr>
          <w:rFonts w:asciiTheme="minorEastAsia" w:hAnsiTheme="minorEastAsia" w:eastAsia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_Toc30922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asciiTheme="minorEastAsia" w:hAnsiTheme="minorEastAsia"/>
          <w:color w:val="auto"/>
          <w:sz w:val="24"/>
          <w:szCs w:val="24"/>
          <w:highlight w:val="none"/>
        </w:rPr>
        <w:fldChar w:fldCharType="end"/>
      </w:r>
    </w:p>
    <w:p w14:paraId="262FFCE9">
      <w:pPr>
        <w:pStyle w:val="19"/>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_Toc25304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第二章</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_Toc25304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35FCC6B4">
      <w:pPr>
        <w:pStyle w:val="19"/>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_Toc32012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_Toc32012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0896E286">
      <w:pPr>
        <w:pStyle w:val="19"/>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_Toc10346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第四章  评标方法和标准（最</w:t>
      </w:r>
      <w:r>
        <w:rPr>
          <w:rFonts w:hint="eastAsia" w:asciiTheme="minorEastAsia" w:hAnsiTheme="minorEastAsia"/>
          <w:color w:val="auto"/>
          <w:sz w:val="24"/>
          <w:szCs w:val="24"/>
          <w:highlight w:val="none"/>
          <w:lang w:val="en-US" w:eastAsia="zh-CN"/>
        </w:rPr>
        <w:t>高</w:t>
      </w:r>
      <w:r>
        <w:rPr>
          <w:rFonts w:hint="eastAsia" w:asciiTheme="minorEastAsia" w:hAnsiTheme="minorEastAsia" w:eastAsiaTheme="minorEastAsia"/>
          <w:color w:val="auto"/>
          <w:sz w:val="24"/>
          <w:szCs w:val="24"/>
          <w:highlight w:val="none"/>
        </w:rPr>
        <w:t>评标价法）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_Toc10346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3DAA4EC6">
      <w:pPr>
        <w:pStyle w:val="19"/>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_Toc9098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_Toc9098 \h </w:instrText>
      </w:r>
      <w:r>
        <w:rPr>
          <w:color w:val="auto"/>
          <w:sz w:val="24"/>
          <w:szCs w:val="24"/>
          <w:highlight w:val="none"/>
        </w:rPr>
        <w:fldChar w:fldCharType="separate"/>
      </w:r>
      <w:r>
        <w:rPr>
          <w:color w:val="auto"/>
          <w:sz w:val="24"/>
          <w:szCs w:val="24"/>
          <w:highlight w:val="none"/>
        </w:rPr>
        <w:t>30</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1D292DFD">
      <w:pPr>
        <w:pStyle w:val="19"/>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_Toc4179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eastAsia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_Toc4179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0700180E">
      <w:pPr>
        <w:pStyle w:val="20"/>
        <w:tabs>
          <w:tab w:val="right" w:leader="dot" w:pos="8306"/>
        </w:tabs>
        <w:rPr>
          <w:color w:val="auto"/>
          <w:highlight w:val="none"/>
        </w:rPr>
      </w:pPr>
    </w:p>
    <w:p w14:paraId="054217E6">
      <w:pPr>
        <w:pStyle w:val="19"/>
        <w:tabs>
          <w:tab w:val="right" w:leader="dot" w:pos="8306"/>
        </w:tabs>
        <w:rPr>
          <w:color w:val="auto"/>
          <w:highlight w:val="none"/>
        </w:rPr>
      </w:pPr>
    </w:p>
    <w:p w14:paraId="7B99C3D6">
      <w:pPr>
        <w:spacing w:line="360" w:lineRule="auto"/>
        <w:rPr>
          <w:rFonts w:hint="eastAsia"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477D5860">
      <w:pPr>
        <w:pStyle w:val="3"/>
        <w:rPr>
          <w:rFonts w:hint="eastAsia"/>
          <w:color w:val="auto"/>
          <w:highlight w:val="none"/>
        </w:rPr>
        <w:sectPr>
          <w:footerReference r:id="rId3" w:type="default"/>
          <w:pgSz w:w="11906" w:h="16838"/>
          <w:pgMar w:top="1440" w:right="1800" w:bottom="1440" w:left="1800" w:header="851" w:footer="992" w:gutter="0"/>
          <w:cols w:space="425" w:num="1"/>
          <w:docGrid w:type="lines" w:linePitch="312" w:charSpace="0"/>
        </w:sectPr>
      </w:pPr>
    </w:p>
    <w:p w14:paraId="3A232DF0">
      <w:pPr>
        <w:spacing w:line="360" w:lineRule="auto"/>
        <w:jc w:val="center"/>
        <w:outlineLvl w:val="0"/>
        <w:rPr>
          <w:rFonts w:hint="eastAsia" w:asciiTheme="minorEastAsia" w:hAnsiTheme="minorEastAsia" w:eastAsiaTheme="minorEastAsia"/>
          <w:b/>
          <w:color w:val="auto"/>
          <w:sz w:val="28"/>
          <w:highlight w:val="none"/>
        </w:rPr>
      </w:pPr>
      <w:bookmarkStart w:id="0" w:name="_Toc30922"/>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0"/>
    </w:p>
    <w:p w14:paraId="72A629A6">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bookmarkStart w:id="1" w:name="_Toc1215"/>
      <w:bookmarkEnd w:id="1"/>
      <w:r>
        <w:rPr>
          <w:rFonts w:hint="eastAsia" w:ascii="宋体" w:hAnsi="宋体" w:eastAsia="宋体" w:cs="宋体"/>
          <w:color w:val="auto"/>
          <w:sz w:val="24"/>
          <w:szCs w:val="24"/>
          <w:highlight w:val="none"/>
          <w:lang w:bidi="ar"/>
        </w:rPr>
        <w:t>项目概况</w:t>
      </w:r>
    </w:p>
    <w:p w14:paraId="6B98C0DC">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bidi="ar"/>
        </w:rPr>
        <w:t>滁州市第一人民医院使用后未被污染输液瓶（袋）及透析壶等回收项目（</w:t>
      </w:r>
      <w:r>
        <w:rPr>
          <w:rFonts w:hint="eastAsia" w:ascii="宋体" w:hAnsi="宋体" w:eastAsia="宋体" w:cs="宋体"/>
          <w:color w:val="auto"/>
          <w:sz w:val="24"/>
          <w:szCs w:val="24"/>
          <w:highlight w:val="none"/>
          <w:u w:val="single"/>
          <w:lang w:val="en-US" w:eastAsia="zh-CN" w:bidi="ar"/>
        </w:rPr>
        <w:t>三次</w:t>
      </w:r>
      <w:r>
        <w:rPr>
          <w:rFonts w:hint="eastAsia" w:ascii="宋体" w:hAnsi="宋体" w:eastAsia="宋体" w:cs="宋体"/>
          <w:color w:val="auto"/>
          <w:sz w:val="24"/>
          <w:szCs w:val="24"/>
          <w:highlight w:val="none"/>
          <w:u w:val="single"/>
          <w:lang w:eastAsia="zh-CN" w:bidi="ar"/>
        </w:rPr>
        <w:t>）</w:t>
      </w:r>
      <w:r>
        <w:rPr>
          <w:rFonts w:hint="eastAsia" w:ascii="宋体" w:hAnsi="宋体" w:eastAsia="宋体" w:cs="宋体"/>
          <w:color w:val="auto"/>
          <w:sz w:val="24"/>
          <w:szCs w:val="24"/>
          <w:highlight w:val="none"/>
          <w:lang w:bidi="ar"/>
        </w:rPr>
        <w:t>的潜在投标人应在</w:t>
      </w:r>
      <w:r>
        <w:rPr>
          <w:rFonts w:hint="eastAsia" w:ascii="宋体" w:hAnsi="宋体" w:eastAsia="宋体" w:cs="宋体"/>
          <w:color w:val="auto"/>
          <w:sz w:val="24"/>
          <w:szCs w:val="24"/>
          <w:highlight w:val="none"/>
          <w:u w:val="single"/>
          <w:lang w:bidi="ar"/>
        </w:rPr>
        <w:t>滁州市第一人民医院网（http://www.czdyrmyy.com/）</w:t>
      </w:r>
      <w:r>
        <w:rPr>
          <w:rFonts w:hint="eastAsia" w:ascii="宋体" w:hAnsi="宋体" w:eastAsia="宋体" w:cs="宋体"/>
          <w:color w:val="auto"/>
          <w:sz w:val="24"/>
          <w:szCs w:val="24"/>
          <w:highlight w:val="none"/>
          <w:lang w:bidi="ar"/>
        </w:rPr>
        <w:t>获取招标文件，并于</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11</w:t>
      </w:r>
      <w:r>
        <w:rPr>
          <w:rFonts w:hint="eastAsia" w:ascii="宋体" w:hAnsi="宋体" w:eastAsia="宋体" w:cs="宋体"/>
          <w:bCs/>
          <w:color w:val="auto"/>
          <w:sz w:val="24"/>
          <w:szCs w:val="24"/>
          <w:highlight w:val="none"/>
          <w:u w:val="single"/>
          <w:lang w:bidi="ar"/>
        </w:rPr>
        <w:t>日1</w:t>
      </w:r>
      <w:r>
        <w:rPr>
          <w:rFonts w:hint="eastAsia" w:ascii="宋体" w:hAnsi="宋体" w:eastAsia="宋体" w:cs="宋体"/>
          <w:bCs/>
          <w:color w:val="auto"/>
          <w:sz w:val="24"/>
          <w:szCs w:val="24"/>
          <w:highlight w:val="none"/>
          <w:u w:val="single"/>
          <w:lang w:val="en-US" w:eastAsia="zh-CN" w:bidi="ar"/>
        </w:rPr>
        <w:t>5</w:t>
      </w:r>
      <w:r>
        <w:rPr>
          <w:rFonts w:hint="eastAsia" w:ascii="宋体" w:hAnsi="宋体" w:eastAsia="宋体" w:cs="宋体"/>
          <w:bCs/>
          <w:color w:val="auto"/>
          <w:sz w:val="24"/>
          <w:szCs w:val="24"/>
          <w:highlight w:val="none"/>
          <w:u w:val="single"/>
          <w:lang w:bidi="ar"/>
        </w:rPr>
        <w:t>点00分</w:t>
      </w:r>
      <w:r>
        <w:rPr>
          <w:rFonts w:hint="eastAsia" w:ascii="宋体" w:hAnsi="宋体" w:eastAsia="宋体" w:cs="宋体"/>
          <w:bCs/>
          <w:color w:val="auto"/>
          <w:sz w:val="24"/>
          <w:szCs w:val="24"/>
          <w:highlight w:val="none"/>
          <w:lang w:bidi="ar"/>
        </w:rPr>
        <w:t>（北京时间）前递交投标文件</w:t>
      </w:r>
      <w:r>
        <w:rPr>
          <w:rFonts w:hint="eastAsia" w:ascii="宋体" w:hAnsi="宋体" w:eastAsia="宋体" w:cs="宋体"/>
          <w:color w:val="auto"/>
          <w:sz w:val="24"/>
          <w:szCs w:val="24"/>
          <w:highlight w:val="none"/>
          <w:lang w:bidi="ar"/>
        </w:rPr>
        <w:t>。</w:t>
      </w:r>
    </w:p>
    <w:p w14:paraId="5E2BA5FD">
      <w:pPr>
        <w:keepNext w:val="0"/>
        <w:keepLines w:val="0"/>
        <w:pageBreakBefore w:val="0"/>
        <w:kinsoku/>
        <w:overflowPunct/>
        <w:topLinePunct w:val="0"/>
        <w:autoSpaceDN/>
        <w:bidi w:val="0"/>
        <w:adjustRightInd/>
        <w:snapToGrid/>
        <w:spacing w:line="420" w:lineRule="exact"/>
        <w:textAlignment w:val="auto"/>
        <w:outlineLvl w:val="1"/>
        <w:rPr>
          <w:rFonts w:hint="eastAsia" w:ascii="宋体" w:hAnsi="宋体" w:eastAsia="宋体"/>
          <w:b/>
          <w:bCs/>
          <w:color w:val="auto"/>
          <w:sz w:val="24"/>
          <w:szCs w:val="24"/>
          <w:highlight w:val="none"/>
        </w:rPr>
      </w:pPr>
      <w:bookmarkStart w:id="2" w:name="_Toc28359079"/>
      <w:bookmarkEnd w:id="2"/>
      <w:bookmarkStart w:id="3" w:name="_Toc35393621"/>
      <w:bookmarkEnd w:id="3"/>
      <w:bookmarkStart w:id="4" w:name="_Toc35393790"/>
      <w:bookmarkEnd w:id="4"/>
      <w:bookmarkStart w:id="5" w:name="_Toc58430305"/>
      <w:bookmarkEnd w:id="5"/>
      <w:bookmarkStart w:id="6" w:name="_Toc28359002"/>
      <w:bookmarkEnd w:id="6"/>
      <w:bookmarkStart w:id="7" w:name="_Hlk24379207"/>
      <w:bookmarkStart w:id="8" w:name="_Toc14263"/>
      <w:r>
        <w:rPr>
          <w:rFonts w:hint="eastAsia" w:ascii="宋体" w:hAnsi="宋体" w:eastAsia="宋体" w:cs="宋体"/>
          <w:b/>
          <w:bCs/>
          <w:color w:val="auto"/>
          <w:sz w:val="24"/>
          <w:szCs w:val="24"/>
          <w:highlight w:val="none"/>
          <w:lang w:bidi="ar"/>
        </w:rPr>
        <w:t>一、项目基本情况</w:t>
      </w:r>
      <w:bookmarkEnd w:id="7"/>
      <w:bookmarkEnd w:id="8"/>
    </w:p>
    <w:p w14:paraId="555C683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项目编号：</w:t>
      </w:r>
      <w:r>
        <w:rPr>
          <w:rFonts w:hint="eastAsia" w:ascii="宋体" w:hAnsi="宋体" w:eastAsia="宋体" w:cs="宋体"/>
          <w:color w:val="auto"/>
          <w:sz w:val="24"/>
          <w:szCs w:val="24"/>
          <w:highlight w:val="none"/>
          <w:lang w:eastAsia="zh-CN" w:bidi="ar"/>
        </w:rPr>
        <w:t>CZYY-2026-42</w:t>
      </w:r>
    </w:p>
    <w:p w14:paraId="20B7B2A0">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项目名称：</w:t>
      </w:r>
      <w:r>
        <w:rPr>
          <w:rFonts w:hint="eastAsia" w:ascii="宋体" w:hAnsi="宋体" w:eastAsia="宋体" w:cs="宋体"/>
          <w:color w:val="auto"/>
          <w:sz w:val="24"/>
          <w:szCs w:val="24"/>
          <w:highlight w:val="none"/>
          <w:lang w:eastAsia="zh-CN" w:bidi="ar"/>
        </w:rPr>
        <w:t>滁州市第一人民医院使用后未被污染输液瓶（袋）及透析壶等回收项目（</w:t>
      </w:r>
      <w:r>
        <w:rPr>
          <w:rFonts w:hint="eastAsia" w:ascii="宋体" w:hAnsi="宋体" w:eastAsia="宋体" w:cs="宋体"/>
          <w:color w:val="auto"/>
          <w:sz w:val="24"/>
          <w:szCs w:val="24"/>
          <w:highlight w:val="none"/>
          <w:lang w:val="en-US" w:eastAsia="zh-CN" w:bidi="ar"/>
        </w:rPr>
        <w:t>三次</w:t>
      </w:r>
      <w:r>
        <w:rPr>
          <w:rFonts w:hint="eastAsia" w:ascii="宋体" w:hAnsi="宋体" w:eastAsia="宋体" w:cs="宋体"/>
          <w:color w:val="auto"/>
          <w:sz w:val="24"/>
          <w:szCs w:val="24"/>
          <w:highlight w:val="none"/>
          <w:lang w:eastAsia="zh-CN" w:bidi="ar"/>
        </w:rPr>
        <w:t>）</w:t>
      </w:r>
    </w:p>
    <w:p w14:paraId="68330D61">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val="en-US" w:eastAsia="zh-CN" w:bidi="ar"/>
        </w:rPr>
      </w:pPr>
      <w:bookmarkStart w:id="9" w:name="_Toc35393622"/>
      <w:bookmarkEnd w:id="9"/>
      <w:bookmarkStart w:id="10" w:name="_Toc35393791"/>
      <w:bookmarkEnd w:id="10"/>
      <w:bookmarkStart w:id="11" w:name="_Toc28359003"/>
      <w:bookmarkEnd w:id="11"/>
      <w:bookmarkStart w:id="12" w:name="_Toc58430306"/>
      <w:bookmarkEnd w:id="12"/>
      <w:bookmarkStart w:id="13" w:name="_Toc21559"/>
      <w:bookmarkStart w:id="14" w:name="_Toc28359080"/>
      <w:r>
        <w:rPr>
          <w:rFonts w:hint="eastAsia" w:ascii="宋体" w:hAnsi="宋体" w:eastAsia="宋体" w:cs="宋体"/>
          <w:color w:val="auto"/>
          <w:sz w:val="24"/>
          <w:szCs w:val="24"/>
          <w:highlight w:val="none"/>
          <w:lang w:bidi="ar"/>
        </w:rPr>
        <w:t>预算金</w:t>
      </w:r>
      <w:r>
        <w:rPr>
          <w:rFonts w:hint="eastAsia" w:ascii="宋体" w:hAnsi="宋体" w:eastAsia="宋体" w:cs="宋体"/>
          <w:color w:val="auto"/>
          <w:sz w:val="24"/>
          <w:szCs w:val="24"/>
          <w:highlight w:val="none"/>
          <w:lang w:eastAsia="zh-CN" w:bidi="ar"/>
        </w:rPr>
        <w:t>额：</w:t>
      </w:r>
      <w:r>
        <w:rPr>
          <w:rFonts w:hint="eastAsia" w:ascii="宋体" w:hAnsi="宋体" w:eastAsia="宋体" w:cs="宋体"/>
          <w:color w:val="auto"/>
          <w:sz w:val="24"/>
          <w:szCs w:val="24"/>
          <w:highlight w:val="none"/>
          <w:lang w:val="en-US" w:eastAsia="zh-CN" w:bidi="ar"/>
        </w:rPr>
        <w:t>28000</w:t>
      </w:r>
      <w:r>
        <w:rPr>
          <w:rFonts w:hint="eastAsia" w:ascii="宋体" w:hAnsi="宋体" w:eastAsia="宋体" w:cs="宋体"/>
          <w:color w:val="auto"/>
          <w:sz w:val="24"/>
          <w:szCs w:val="24"/>
          <w:highlight w:val="none"/>
          <w:lang w:eastAsia="zh-CN" w:bidi="ar"/>
        </w:rPr>
        <w:t>元/年</w:t>
      </w:r>
    </w:p>
    <w:p w14:paraId="39504F9C">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bidi="ar"/>
        </w:rPr>
        <w:t>最</w:t>
      </w:r>
      <w:r>
        <w:rPr>
          <w:rFonts w:hint="eastAsia" w:ascii="宋体" w:hAnsi="宋体" w:eastAsia="宋体" w:cs="宋体"/>
          <w:color w:val="auto"/>
          <w:sz w:val="24"/>
          <w:szCs w:val="24"/>
          <w:highlight w:val="none"/>
          <w:lang w:val="en-US" w:eastAsia="zh-CN" w:bidi="ar"/>
        </w:rPr>
        <w:t>低</w:t>
      </w:r>
      <w:r>
        <w:rPr>
          <w:rFonts w:hint="eastAsia" w:ascii="宋体" w:hAnsi="宋体" w:eastAsia="宋体" w:cs="宋体"/>
          <w:color w:val="auto"/>
          <w:sz w:val="24"/>
          <w:szCs w:val="24"/>
          <w:highlight w:val="none"/>
          <w:lang w:eastAsia="zh-CN" w:bidi="ar"/>
        </w:rPr>
        <w:t>限价：</w:t>
      </w:r>
      <w:r>
        <w:rPr>
          <w:rFonts w:hint="eastAsia" w:ascii="宋体" w:hAnsi="宋体" w:eastAsia="宋体" w:cs="宋体"/>
          <w:color w:val="auto"/>
          <w:sz w:val="24"/>
          <w:szCs w:val="24"/>
          <w:highlight w:val="none"/>
          <w:lang w:val="en-US" w:eastAsia="zh-CN" w:bidi="ar"/>
        </w:rPr>
        <w:t>28000</w:t>
      </w:r>
      <w:r>
        <w:rPr>
          <w:rFonts w:hint="eastAsia" w:ascii="宋体" w:hAnsi="宋体" w:eastAsia="宋体" w:cs="宋体"/>
          <w:color w:val="auto"/>
          <w:sz w:val="24"/>
          <w:szCs w:val="24"/>
          <w:highlight w:val="none"/>
          <w:lang w:eastAsia="zh-CN" w:bidi="ar"/>
        </w:rPr>
        <w:t>元/年，投标</w:t>
      </w:r>
      <w:r>
        <w:rPr>
          <w:rFonts w:hint="eastAsia" w:ascii="宋体" w:hAnsi="宋体" w:eastAsia="宋体" w:cs="宋体"/>
          <w:color w:val="auto"/>
          <w:sz w:val="24"/>
          <w:szCs w:val="24"/>
          <w:highlight w:val="none"/>
          <w:lang w:val="en-US" w:eastAsia="zh-CN" w:bidi="ar"/>
        </w:rPr>
        <w:t>报价</w:t>
      </w:r>
      <w:r>
        <w:rPr>
          <w:rFonts w:hint="eastAsia" w:ascii="宋体" w:hAnsi="宋体" w:eastAsia="宋体" w:cs="宋体"/>
          <w:color w:val="auto"/>
          <w:sz w:val="24"/>
          <w:szCs w:val="24"/>
          <w:highlight w:val="none"/>
          <w:lang w:eastAsia="zh-CN" w:bidi="ar"/>
        </w:rPr>
        <w:t>不得</w:t>
      </w:r>
      <w:r>
        <w:rPr>
          <w:rFonts w:hint="eastAsia" w:ascii="宋体" w:hAnsi="宋体" w:eastAsia="宋体" w:cs="宋体"/>
          <w:color w:val="auto"/>
          <w:sz w:val="24"/>
          <w:szCs w:val="24"/>
          <w:highlight w:val="none"/>
          <w:lang w:val="en-US" w:eastAsia="zh-CN" w:bidi="ar"/>
        </w:rPr>
        <w:t>低于</w:t>
      </w:r>
      <w:r>
        <w:rPr>
          <w:rFonts w:hint="eastAsia" w:ascii="宋体" w:hAnsi="宋体" w:eastAsia="宋体" w:cs="宋体"/>
          <w:color w:val="auto"/>
          <w:sz w:val="24"/>
          <w:szCs w:val="24"/>
          <w:highlight w:val="none"/>
          <w:lang w:eastAsia="zh-CN" w:bidi="ar"/>
        </w:rPr>
        <w:t>本项目设置</w:t>
      </w:r>
      <w:r>
        <w:rPr>
          <w:rFonts w:hint="eastAsia" w:ascii="宋体" w:hAnsi="宋体" w:eastAsia="宋体" w:cs="宋体"/>
          <w:color w:val="auto"/>
          <w:sz w:val="24"/>
          <w:szCs w:val="24"/>
          <w:highlight w:val="none"/>
          <w:lang w:val="en-US" w:eastAsia="zh-CN" w:bidi="ar"/>
        </w:rPr>
        <w:t>的最低限价</w:t>
      </w:r>
      <w:r>
        <w:rPr>
          <w:rFonts w:hint="eastAsia" w:ascii="宋体" w:hAnsi="宋体" w:eastAsia="宋体" w:cs="宋体"/>
          <w:color w:val="auto"/>
          <w:sz w:val="24"/>
          <w:szCs w:val="24"/>
          <w:highlight w:val="none"/>
          <w:lang w:eastAsia="zh-CN" w:bidi="ar"/>
        </w:rPr>
        <w:t>，否则按无效投标处理</w:t>
      </w:r>
      <w:r>
        <w:rPr>
          <w:rFonts w:hint="eastAsia" w:ascii="宋体" w:hAnsi="宋体" w:eastAsia="宋体" w:cs="宋体"/>
          <w:color w:val="auto"/>
          <w:sz w:val="24"/>
          <w:szCs w:val="24"/>
          <w:highlight w:val="none"/>
          <w:lang w:bidi="ar"/>
        </w:rPr>
        <w:t>。</w:t>
      </w:r>
    </w:p>
    <w:p w14:paraId="51E0E927">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采购需求：</w:t>
      </w:r>
      <w:r>
        <w:rPr>
          <w:rFonts w:hint="eastAsia" w:ascii="宋体" w:hAnsi="宋体" w:eastAsia="宋体" w:cs="宋体"/>
          <w:color w:val="auto"/>
          <w:sz w:val="24"/>
          <w:szCs w:val="24"/>
          <w:highlight w:val="none"/>
          <w:lang w:eastAsia="zh-CN" w:bidi="ar"/>
        </w:rPr>
        <w:t>滁州市第一人民医院五个院区（南区、北区、儿童医院、口腔医院、西区）的使用后未被污染输液瓶（袋）及透析壶等回收</w:t>
      </w:r>
      <w:r>
        <w:rPr>
          <w:rFonts w:hint="eastAsia" w:ascii="宋体" w:hAnsi="宋体" w:eastAsia="宋体" w:cs="宋体"/>
          <w:color w:val="auto"/>
          <w:sz w:val="24"/>
          <w:szCs w:val="24"/>
          <w:highlight w:val="none"/>
          <w:lang w:val="en-US" w:eastAsia="zh-CN" w:bidi="ar"/>
        </w:rPr>
        <w:t>。</w:t>
      </w:r>
    </w:p>
    <w:p w14:paraId="48DAED26">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合同履行期</w:t>
      </w:r>
      <w:r>
        <w:rPr>
          <w:rFonts w:hint="eastAsia" w:ascii="宋体" w:hAnsi="宋体" w:eastAsia="宋体" w:cs="宋体"/>
          <w:color w:val="auto"/>
          <w:sz w:val="24"/>
          <w:szCs w:val="24"/>
          <w:highlight w:val="none"/>
          <w:lang w:val="en-US" w:eastAsia="zh-CN" w:bidi="ar"/>
        </w:rPr>
        <w:t>限：三年，合同一年一签。</w:t>
      </w:r>
    </w:p>
    <w:p w14:paraId="4547B0D0">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本项目不接受联合体投标。</w:t>
      </w:r>
    </w:p>
    <w:p w14:paraId="1F89835E">
      <w:pPr>
        <w:keepNext w:val="0"/>
        <w:keepLines w:val="0"/>
        <w:pageBreakBefore w:val="0"/>
        <w:kinsoku/>
        <w:overflowPunct/>
        <w:topLinePunct w:val="0"/>
        <w:autoSpaceDN/>
        <w:bidi w:val="0"/>
        <w:adjustRightInd/>
        <w:snapToGrid/>
        <w:spacing w:line="420" w:lineRule="exact"/>
        <w:textAlignment w:val="auto"/>
        <w:outlineLvl w:val="1"/>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lang w:bidi="ar"/>
        </w:rPr>
        <w:t>二、申请人的资格要求</w:t>
      </w:r>
      <w:bookmarkEnd w:id="13"/>
      <w:bookmarkEnd w:id="14"/>
    </w:p>
    <w:p w14:paraId="3E73B7A5">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eastAsia="zh-CN" w:bidi="ar"/>
        </w:rPr>
      </w:pPr>
      <w:bookmarkStart w:id="15" w:name="_Toc35393792"/>
      <w:bookmarkEnd w:id="15"/>
      <w:bookmarkStart w:id="16" w:name="_Toc35393623"/>
      <w:bookmarkEnd w:id="16"/>
      <w:bookmarkStart w:id="17" w:name="_Toc58430307"/>
      <w:r>
        <w:rPr>
          <w:rFonts w:hint="eastAsia" w:ascii="宋体" w:hAnsi="宋体" w:eastAsia="宋体" w:cs="宋体"/>
          <w:color w:val="auto"/>
          <w:sz w:val="24"/>
          <w:szCs w:val="24"/>
          <w:highlight w:val="none"/>
          <w:lang w:bidi="ar"/>
        </w:rPr>
        <w:t>1.满足《中华人民共和国政府采购法》第二十二条规定</w:t>
      </w:r>
      <w:r>
        <w:rPr>
          <w:rFonts w:hint="eastAsia" w:ascii="宋体" w:hAnsi="宋体" w:eastAsia="宋体" w:cs="宋体"/>
          <w:color w:val="auto"/>
          <w:sz w:val="24"/>
          <w:szCs w:val="24"/>
          <w:highlight w:val="none"/>
          <w:lang w:eastAsia="zh-CN" w:bidi="ar"/>
        </w:rPr>
        <w:t>；</w:t>
      </w:r>
    </w:p>
    <w:p w14:paraId="4AF3543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本项目的特定资格要求：①投标人具有环境保护部门对使用后未被污染输液瓶（袋）等塑料制品、玻璃输液瓶处置项目的环评审批、环保竣工验收资料及有效期内的排污许可证证明，</w:t>
      </w:r>
      <w:r>
        <w:rPr>
          <w:rFonts w:hint="eastAsia" w:ascii="宋体" w:hAnsi="宋体" w:eastAsia="宋体" w:cs="宋体"/>
          <w:color w:val="auto"/>
          <w:sz w:val="24"/>
          <w:szCs w:val="24"/>
          <w:highlight w:val="none"/>
          <w:lang w:val="en-US" w:eastAsia="zh-CN" w:bidi="ar"/>
        </w:rPr>
        <w:t>②</w:t>
      </w:r>
      <w:r>
        <w:rPr>
          <w:rFonts w:hint="eastAsia" w:ascii="宋体" w:hAnsi="宋体" w:eastAsia="宋体" w:cs="宋体"/>
          <w:color w:val="auto"/>
          <w:sz w:val="24"/>
          <w:szCs w:val="24"/>
          <w:highlight w:val="none"/>
          <w:lang w:bidi="ar"/>
        </w:rPr>
        <w:t>投标人具有有效期内的营业执照等资质证明。</w:t>
      </w:r>
    </w:p>
    <w:bookmarkEnd w:id="17"/>
    <w:p w14:paraId="61997447">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bookmarkStart w:id="18" w:name="_Toc4815"/>
      <w:r>
        <w:rPr>
          <w:rFonts w:hint="eastAsia" w:ascii="宋体" w:hAnsi="宋体" w:eastAsia="宋体" w:cs="宋体"/>
          <w:color w:val="auto"/>
          <w:sz w:val="24"/>
          <w:szCs w:val="24"/>
          <w:highlight w:val="none"/>
          <w:lang w:val="en-US" w:eastAsia="zh-CN" w:bidi="ar"/>
        </w:rPr>
        <w:t xml:space="preserve">3.信誉要求：投标人不得存在以下情形： </w:t>
      </w:r>
    </w:p>
    <w:p w14:paraId="7954C6E8">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①被列入“信用中国”网站“失信被执行人”的； </w:t>
      </w:r>
    </w:p>
    <w:p w14:paraId="5E6D4731">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②被列入“信用中国”网站“重大税收违法失信主体”的； </w:t>
      </w:r>
    </w:p>
    <w:p w14:paraId="7AA07FC5">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③被列入“信用中国”网站 “严重失信主体名单”的； </w:t>
      </w:r>
    </w:p>
    <w:p w14:paraId="56E092F8">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④在“信用中国”网站上披露的仍在公示期的严重失信行为(具体行为类别及判定依据见“信用中国”查询的严重失信行为类别及判定依据)的。</w:t>
      </w:r>
    </w:p>
    <w:p w14:paraId="6B6DB335">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⑤被列入国家企业信用信息公示系统网站“经营异常名录”或者“严重违法失信名单”的。 </w:t>
      </w:r>
    </w:p>
    <w:p w14:paraId="5F7C9F11">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⑥被列入中国政府采购网站“政府采购严重违法失信行为信息记录”的。 </w:t>
      </w:r>
    </w:p>
    <w:p w14:paraId="3FC29E16">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⑦前三年有行贿犯罪行为的单位和个人。 </w:t>
      </w:r>
    </w:p>
    <w:p w14:paraId="1E1B9AAD">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 xml:space="preserve">4.投标人所属分公司、办事处等分支机构存在第3款信誉要求①-⑦项情形之一的，接受投标人参加本项目。 </w:t>
      </w:r>
    </w:p>
    <w:p w14:paraId="72D3DA7F">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outlineLvl w:val="1"/>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备注：第 3、4条按照“关于联合惩戒失信行为加强信用查询管理的通知”查询或承诺。</w:t>
      </w:r>
    </w:p>
    <w:p w14:paraId="3CAFA2D5">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lang w:bidi="ar"/>
        </w:rPr>
        <w:t>三、获取招标文件</w:t>
      </w:r>
      <w:bookmarkEnd w:id="18"/>
    </w:p>
    <w:p w14:paraId="39069D58">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iCs/>
          <w:color w:val="auto"/>
          <w:sz w:val="24"/>
          <w:szCs w:val="24"/>
          <w:highlight w:val="none"/>
          <w:u w:val="single"/>
        </w:rPr>
      </w:pPr>
      <w:r>
        <w:rPr>
          <w:rFonts w:hint="eastAsia" w:ascii="宋体" w:hAnsi="宋体" w:eastAsia="宋体" w:cs="宋体"/>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4</w:t>
      </w:r>
      <w:r>
        <w:rPr>
          <w:rFonts w:hint="eastAsia" w:ascii="宋体" w:hAnsi="宋体" w:eastAsia="宋体" w:cs="宋体"/>
          <w:bCs/>
          <w:color w:val="auto"/>
          <w:sz w:val="24"/>
          <w:szCs w:val="24"/>
          <w:highlight w:val="none"/>
          <w:u w:val="single"/>
          <w:lang w:bidi="ar"/>
        </w:rPr>
        <w:t>日</w:t>
      </w:r>
      <w:r>
        <w:rPr>
          <w:rFonts w:hint="eastAsia" w:ascii="宋体" w:hAnsi="宋体" w:eastAsia="宋体" w:cs="宋体"/>
          <w:color w:val="auto"/>
          <w:sz w:val="24"/>
          <w:szCs w:val="24"/>
          <w:highlight w:val="none"/>
          <w:u w:val="single"/>
          <w:lang w:bidi="ar"/>
        </w:rPr>
        <w:t>至202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11</w:t>
      </w:r>
      <w:r>
        <w:rPr>
          <w:rFonts w:hint="eastAsia" w:ascii="宋体" w:hAnsi="宋体" w:eastAsia="宋体" w:cs="宋体"/>
          <w:bCs/>
          <w:color w:val="auto"/>
          <w:sz w:val="24"/>
          <w:szCs w:val="24"/>
          <w:highlight w:val="none"/>
          <w:u w:val="single"/>
          <w:lang w:bidi="ar"/>
        </w:rPr>
        <w:t>日</w:t>
      </w:r>
    </w:p>
    <w:p w14:paraId="4DCF1C40">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地点：滁州市第一人民医院网</w:t>
      </w:r>
    </w:p>
    <w:p w14:paraId="1D7B9094">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方式：网上下载</w:t>
      </w:r>
    </w:p>
    <w:p w14:paraId="286642A0">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售价：0元</w:t>
      </w:r>
    </w:p>
    <w:p w14:paraId="7616CB30">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bookmarkStart w:id="19" w:name="_Toc35393624"/>
      <w:bookmarkEnd w:id="19"/>
      <w:bookmarkStart w:id="20" w:name="_Toc28359082"/>
      <w:bookmarkEnd w:id="20"/>
      <w:bookmarkStart w:id="21" w:name="_Toc28359005"/>
      <w:bookmarkEnd w:id="21"/>
      <w:bookmarkStart w:id="22" w:name="_Toc35393793"/>
      <w:bookmarkEnd w:id="22"/>
      <w:bookmarkStart w:id="23" w:name="_Toc58430308"/>
      <w:bookmarkStart w:id="24" w:name="_Toc31465"/>
      <w:r>
        <w:rPr>
          <w:rFonts w:hint="eastAsia" w:ascii="宋体" w:hAnsi="宋体" w:eastAsia="宋体" w:cs="宋体"/>
          <w:b/>
          <w:bCs/>
          <w:color w:val="auto"/>
          <w:sz w:val="24"/>
          <w:szCs w:val="24"/>
          <w:highlight w:val="none"/>
          <w:lang w:bidi="ar"/>
        </w:rPr>
        <w:t>四、提交投标文件</w:t>
      </w:r>
      <w:bookmarkEnd w:id="23"/>
      <w:r>
        <w:rPr>
          <w:rFonts w:hint="eastAsia" w:ascii="宋体" w:hAnsi="宋体" w:eastAsia="宋体" w:cs="宋体"/>
          <w:b/>
          <w:bCs/>
          <w:color w:val="auto"/>
          <w:sz w:val="24"/>
          <w:szCs w:val="24"/>
          <w:highlight w:val="none"/>
          <w:lang w:bidi="ar"/>
        </w:rPr>
        <w:t>截止时间、开标时间和地点</w:t>
      </w:r>
      <w:bookmarkEnd w:id="24"/>
    </w:p>
    <w:p w14:paraId="637DF32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11</w:t>
      </w:r>
      <w:r>
        <w:rPr>
          <w:rFonts w:hint="eastAsia" w:ascii="宋体" w:hAnsi="宋体" w:eastAsia="宋体" w:cs="宋体"/>
          <w:bCs/>
          <w:color w:val="auto"/>
          <w:sz w:val="24"/>
          <w:szCs w:val="24"/>
          <w:highlight w:val="none"/>
          <w:u w:val="single"/>
          <w:lang w:bidi="ar"/>
        </w:rPr>
        <w:t>日15点00分（</w:t>
      </w:r>
      <w:r>
        <w:rPr>
          <w:rFonts w:hint="eastAsia" w:ascii="宋体" w:hAnsi="宋体" w:eastAsia="宋体" w:cs="宋体"/>
          <w:bCs/>
          <w:color w:val="auto"/>
          <w:sz w:val="24"/>
          <w:szCs w:val="24"/>
          <w:highlight w:val="none"/>
          <w:lang w:bidi="ar"/>
        </w:rPr>
        <w:t>北京时间）</w:t>
      </w:r>
    </w:p>
    <w:p w14:paraId="71E750E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开标地点：</w:t>
      </w:r>
      <w:r>
        <w:rPr>
          <w:rFonts w:hint="eastAsia" w:ascii="宋体" w:hAnsi="宋体" w:eastAsia="宋体"/>
          <w:color w:val="auto"/>
          <w:sz w:val="24"/>
          <w:szCs w:val="18"/>
          <w:highlight w:val="none"/>
        </w:rPr>
        <w:t>滁州市第一人民医院南区行政部六楼会议室</w:t>
      </w:r>
    </w:p>
    <w:p w14:paraId="521881CB">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投标文件递送（或邮寄）地址：滁</w:t>
      </w:r>
      <w:r>
        <w:rPr>
          <w:rFonts w:hint="eastAsia" w:ascii="宋体" w:hAnsi="宋体" w:eastAsia="宋体"/>
          <w:color w:val="auto"/>
          <w:sz w:val="24"/>
          <w:szCs w:val="18"/>
          <w:highlight w:val="none"/>
        </w:rPr>
        <w:t>州市醉翁西路369号，滁州市第一人民医院南区行政部五楼西招标办（请各投标人在响应文件提交截止时间前将响应文件递送或邮寄至滁州市第一人民医院南区行政部五楼西招标办，招标办联系电话：0550-3526032；采用邮寄方式提交，供应商请自行计算好邮件路途中所需的时间，逾期的概不接受）。</w:t>
      </w:r>
    </w:p>
    <w:p w14:paraId="11381F97">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bookmarkStart w:id="25" w:name="_Toc35393794"/>
      <w:bookmarkEnd w:id="25"/>
      <w:bookmarkStart w:id="26" w:name="_Toc28359007"/>
      <w:bookmarkEnd w:id="26"/>
      <w:bookmarkStart w:id="27" w:name="_Toc58430309"/>
      <w:bookmarkEnd w:id="27"/>
      <w:bookmarkStart w:id="28" w:name="_Toc35393625"/>
      <w:bookmarkEnd w:id="28"/>
      <w:bookmarkStart w:id="29" w:name="_Toc28359084"/>
      <w:bookmarkStart w:id="30" w:name="_Toc30313"/>
      <w:r>
        <w:rPr>
          <w:rFonts w:hint="eastAsia" w:ascii="宋体" w:hAnsi="宋体" w:eastAsia="宋体" w:cs="宋体"/>
          <w:b/>
          <w:bCs/>
          <w:color w:val="auto"/>
          <w:sz w:val="24"/>
          <w:szCs w:val="24"/>
          <w:highlight w:val="none"/>
          <w:lang w:bidi="ar"/>
        </w:rPr>
        <w:t>五、公告期限</w:t>
      </w:r>
      <w:bookmarkEnd w:id="29"/>
      <w:bookmarkEnd w:id="30"/>
    </w:p>
    <w:p w14:paraId="3120AB57">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自本公告发布之日起5个工作日。</w:t>
      </w:r>
    </w:p>
    <w:p w14:paraId="12E4FDA2">
      <w:pPr>
        <w:keepNext w:val="0"/>
        <w:keepLines w:val="0"/>
        <w:widowControl w:val="0"/>
        <w:suppressLineNumbers w:val="0"/>
        <w:autoSpaceDE w:val="0"/>
        <w:autoSpaceDN/>
        <w:spacing w:before="0" w:beforeAutospacing="0" w:after="0" w:afterAutospacing="0" w:line="420" w:lineRule="exact"/>
        <w:ind w:left="0" w:right="0" w:firstLine="43"/>
        <w:jc w:val="both"/>
        <w:outlineLvl w:val="1"/>
        <w:rPr>
          <w:rFonts w:hint="default" w:ascii="宋体" w:hAnsi="宋体" w:eastAsia="宋体" w:cs="@仿宋_GB2312"/>
          <w:b/>
          <w:bCs/>
          <w:color w:val="auto"/>
          <w:kern w:val="2"/>
          <w:sz w:val="24"/>
          <w:szCs w:val="24"/>
          <w:highlight w:val="none"/>
          <w:lang w:val="en-US"/>
        </w:rPr>
      </w:pPr>
      <w:bookmarkStart w:id="31" w:name="_Toc58430310"/>
      <w:bookmarkEnd w:id="31"/>
      <w:bookmarkStart w:id="32" w:name="_Toc3854"/>
      <w:bookmarkStart w:id="33" w:name="_Toc18358"/>
      <w:r>
        <w:rPr>
          <w:rFonts w:hint="eastAsia" w:ascii="宋体" w:hAnsi="宋体" w:eastAsia="宋体" w:cs="宋体"/>
          <w:b/>
          <w:bCs/>
          <w:color w:val="auto"/>
          <w:kern w:val="2"/>
          <w:sz w:val="24"/>
          <w:szCs w:val="24"/>
          <w:highlight w:val="none"/>
          <w:lang w:val="en-US" w:eastAsia="zh-CN" w:bidi="ar"/>
        </w:rPr>
        <w:t>六、投标保证金</w:t>
      </w:r>
    </w:p>
    <w:p w14:paraId="3EF9441E">
      <w:pPr>
        <w:keepNext w:val="0"/>
        <w:keepLines w:val="0"/>
        <w:widowControl w:val="0"/>
        <w:suppressLineNumbers w:val="0"/>
        <w:autoSpaceDE w:val="0"/>
        <w:autoSpaceDN/>
        <w:spacing w:before="0" w:beforeAutospacing="0" w:after="0" w:afterAutospacing="0" w:line="420" w:lineRule="exact"/>
        <w:ind w:left="0" w:right="0" w:firstLine="528" w:firstLineChars="220"/>
        <w:jc w:val="both"/>
        <w:outlineLvl w:val="1"/>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无</w:t>
      </w:r>
    </w:p>
    <w:p w14:paraId="69B13E66">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lang w:bidi="ar"/>
        </w:rPr>
        <w:t>七、</w:t>
      </w:r>
      <w:bookmarkEnd w:id="32"/>
      <w:r>
        <w:rPr>
          <w:rFonts w:hint="eastAsia" w:ascii="宋体" w:hAnsi="宋体" w:eastAsia="宋体" w:cs="宋体"/>
          <w:b/>
          <w:bCs/>
          <w:color w:val="auto"/>
          <w:sz w:val="24"/>
          <w:szCs w:val="24"/>
          <w:highlight w:val="none"/>
          <w:lang w:bidi="ar"/>
        </w:rPr>
        <w:t>对本次招标提出询问，请按以下方式联系</w:t>
      </w:r>
      <w:bookmarkEnd w:id="33"/>
    </w:p>
    <w:p w14:paraId="4FB3AD9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1.采购人信息</w:t>
      </w:r>
    </w:p>
    <w:p w14:paraId="3B1842B7">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名  称：</w:t>
      </w:r>
      <w:r>
        <w:rPr>
          <w:rFonts w:hint="eastAsia" w:ascii="宋体" w:hAnsi="宋体" w:eastAsia="宋体"/>
          <w:color w:val="auto"/>
          <w:sz w:val="24"/>
          <w:szCs w:val="24"/>
          <w:highlight w:val="none"/>
          <w:u w:val="single"/>
          <w:lang w:bidi="ar"/>
        </w:rPr>
        <w:t>滁州市第一人民医院</w:t>
      </w:r>
    </w:p>
    <w:p w14:paraId="2CC448C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地</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址：</w:t>
      </w:r>
      <w:r>
        <w:rPr>
          <w:rFonts w:hint="eastAsia" w:ascii="宋体" w:hAnsi="宋体" w:eastAsia="宋体"/>
          <w:color w:val="auto"/>
          <w:sz w:val="24"/>
          <w:szCs w:val="24"/>
          <w:highlight w:val="none"/>
          <w:u w:val="single"/>
          <w:lang w:bidi="ar"/>
        </w:rPr>
        <w:t>滁州市醉翁西路369号</w:t>
      </w:r>
    </w:p>
    <w:p w14:paraId="01292CD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lang w:eastAsia="zh-CN"/>
        </w:rPr>
      </w:pPr>
      <w:r>
        <w:rPr>
          <w:rFonts w:hint="eastAsia" w:ascii="宋体" w:hAnsi="宋体" w:eastAsia="宋体" w:cs="宋体"/>
          <w:color w:val="auto"/>
          <w:sz w:val="24"/>
          <w:szCs w:val="24"/>
          <w:highlight w:val="none"/>
          <w:lang w:bidi="ar"/>
        </w:rPr>
        <w:t>联系人：</w:t>
      </w:r>
      <w:r>
        <w:rPr>
          <w:rFonts w:hint="eastAsia" w:ascii="宋体" w:hAnsi="宋体" w:eastAsia="宋体" w:cs="宋体"/>
          <w:color w:val="auto"/>
          <w:sz w:val="24"/>
          <w:szCs w:val="24"/>
          <w:highlight w:val="none"/>
          <w:u w:val="single"/>
          <w:lang w:val="en-US" w:eastAsia="zh-CN" w:bidi="ar"/>
        </w:rPr>
        <w:t>总务科、</w:t>
      </w:r>
      <w:r>
        <w:rPr>
          <w:rFonts w:hint="eastAsia" w:ascii="宋体" w:hAnsi="宋体" w:eastAsia="宋体"/>
          <w:color w:val="auto"/>
          <w:sz w:val="24"/>
          <w:szCs w:val="24"/>
          <w:highlight w:val="none"/>
          <w:u w:val="single"/>
          <w:lang w:bidi="ar"/>
        </w:rPr>
        <w:t>招标办</w:t>
      </w:r>
    </w:p>
    <w:p w14:paraId="23AA54E7">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u w:val="single"/>
          <w:lang w:bidi="ar"/>
        </w:rPr>
      </w:pPr>
      <w:r>
        <w:rPr>
          <w:rFonts w:hint="eastAsia" w:ascii="宋体" w:hAnsi="宋体" w:eastAsia="宋体" w:cs="宋体"/>
          <w:color w:val="auto"/>
          <w:sz w:val="24"/>
          <w:szCs w:val="24"/>
          <w:highlight w:val="none"/>
          <w:lang w:bidi="ar"/>
        </w:rPr>
        <w:t>联系方式：</w:t>
      </w:r>
      <w:r>
        <w:rPr>
          <w:rFonts w:hint="eastAsia" w:ascii="宋体" w:hAnsi="宋体" w:eastAsia="宋体" w:cs="宋体"/>
          <w:color w:val="auto"/>
          <w:sz w:val="24"/>
          <w:szCs w:val="24"/>
          <w:highlight w:val="none"/>
          <w:u w:val="single"/>
          <w:lang w:val="en-US" w:eastAsia="zh-CN" w:bidi="ar"/>
        </w:rPr>
        <w:t>0550-3526077、</w:t>
      </w:r>
      <w:r>
        <w:rPr>
          <w:rFonts w:hint="eastAsia" w:ascii="宋体" w:hAnsi="宋体" w:eastAsia="宋体"/>
          <w:color w:val="auto"/>
          <w:sz w:val="24"/>
          <w:szCs w:val="24"/>
          <w:highlight w:val="none"/>
          <w:u w:val="single"/>
          <w:lang w:bidi="ar"/>
        </w:rPr>
        <w:t>0550-3526032</w:t>
      </w:r>
    </w:p>
    <w:p w14:paraId="5887F41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olor w:val="auto"/>
          <w:sz w:val="24"/>
          <w:szCs w:val="24"/>
          <w:highlight w:val="none"/>
          <w:lang w:bidi="ar"/>
        </w:rPr>
        <w:t>2.采购代理机构</w:t>
      </w:r>
      <w:r>
        <w:rPr>
          <w:rFonts w:hint="eastAsia" w:ascii="宋体" w:hAnsi="宋体" w:eastAsia="宋体" w:cs="宋体"/>
          <w:color w:val="auto"/>
          <w:sz w:val="24"/>
          <w:szCs w:val="24"/>
          <w:highlight w:val="none"/>
          <w:lang w:bidi="ar"/>
        </w:rPr>
        <w:t>信息</w:t>
      </w:r>
    </w:p>
    <w:p w14:paraId="72ACEBD7">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名  称：</w:t>
      </w:r>
      <w:r>
        <w:rPr>
          <w:rFonts w:hint="eastAsia" w:ascii="宋体" w:hAnsi="宋体" w:eastAsia="宋体"/>
          <w:color w:val="auto"/>
          <w:sz w:val="24"/>
          <w:szCs w:val="24"/>
          <w:highlight w:val="none"/>
          <w:u w:val="single"/>
          <w:lang w:bidi="ar"/>
        </w:rPr>
        <w:t>安徽百士德工程咨询有限公司</w:t>
      </w:r>
    </w:p>
    <w:p w14:paraId="6EE07D74">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地</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址：</w:t>
      </w:r>
      <w:r>
        <w:rPr>
          <w:rFonts w:hint="eastAsia" w:ascii="宋体" w:hAnsi="宋体" w:eastAsia="宋体"/>
          <w:color w:val="auto"/>
          <w:sz w:val="24"/>
          <w:szCs w:val="24"/>
          <w:highlight w:val="none"/>
          <w:u w:val="single"/>
          <w:lang w:bidi="ar"/>
        </w:rPr>
        <w:t xml:space="preserve">滁州市会峰西路72-11号 </w:t>
      </w:r>
    </w:p>
    <w:p w14:paraId="3539D024">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eastAsia="宋体"/>
          <w:color w:val="auto"/>
          <w:szCs w:val="21"/>
          <w:highlight w:val="none"/>
          <w:lang w:eastAsia="zh-CN"/>
        </w:rPr>
      </w:pPr>
      <w:r>
        <w:rPr>
          <w:rFonts w:hint="eastAsia" w:ascii="宋体" w:hAnsi="宋体" w:eastAsia="宋体" w:cs="宋体"/>
          <w:color w:val="auto"/>
          <w:sz w:val="24"/>
          <w:szCs w:val="24"/>
          <w:highlight w:val="none"/>
          <w:lang w:bidi="ar"/>
        </w:rPr>
        <w:t>联系人：</w:t>
      </w:r>
      <w:r>
        <w:rPr>
          <w:rFonts w:hint="eastAsia" w:ascii="宋体" w:hAnsi="宋体" w:eastAsia="宋体"/>
          <w:color w:val="auto"/>
          <w:sz w:val="24"/>
          <w:szCs w:val="24"/>
          <w:highlight w:val="none"/>
          <w:u w:val="single"/>
          <w:lang w:val="en-US" w:eastAsia="zh-CN" w:bidi="ar"/>
        </w:rPr>
        <w:t>吕倩</w:t>
      </w:r>
    </w:p>
    <w:p w14:paraId="05F2B871">
      <w:pPr>
        <w:pStyle w:val="3"/>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olor w:val="auto"/>
          <w:sz w:val="24"/>
          <w:highlight w:val="none"/>
          <w:u w:val="single"/>
          <w:lang w:bidi="ar"/>
        </w:rPr>
      </w:pPr>
      <w:r>
        <w:rPr>
          <w:rFonts w:hint="eastAsia" w:ascii="宋体" w:hAnsi="宋体" w:eastAsia="宋体" w:cs="宋体"/>
          <w:color w:val="auto"/>
          <w:sz w:val="24"/>
          <w:highlight w:val="none"/>
          <w:lang w:bidi="ar"/>
        </w:rPr>
        <w:t>联系方式：</w:t>
      </w:r>
      <w:r>
        <w:rPr>
          <w:rFonts w:hint="eastAsia" w:ascii="宋体" w:hAnsi="宋体" w:eastAsia="宋体"/>
          <w:color w:val="auto"/>
          <w:sz w:val="24"/>
          <w:highlight w:val="none"/>
          <w:u w:val="single"/>
          <w:lang w:bidi="ar"/>
        </w:rPr>
        <w:t>0550-3011399、</w:t>
      </w:r>
      <w:r>
        <w:rPr>
          <w:rFonts w:hint="eastAsia" w:ascii="宋体" w:hAnsi="宋体" w:eastAsia="宋体"/>
          <w:color w:val="auto"/>
          <w:sz w:val="24"/>
          <w:highlight w:val="none"/>
          <w:u w:val="single"/>
          <w:lang w:val="en-US" w:eastAsia="zh-CN" w:bidi="ar"/>
        </w:rPr>
        <w:t>15178499373</w:t>
      </w:r>
      <w:r>
        <w:rPr>
          <w:rFonts w:hint="eastAsia" w:ascii="宋体" w:hAnsi="宋体" w:eastAsia="宋体"/>
          <w:color w:val="auto"/>
          <w:sz w:val="24"/>
          <w:highlight w:val="none"/>
          <w:u w:val="single"/>
          <w:lang w:bidi="ar"/>
        </w:rPr>
        <w:t xml:space="preserve"> </w:t>
      </w:r>
    </w:p>
    <w:p w14:paraId="2A802C4F">
      <w:pPr>
        <w:spacing w:line="360" w:lineRule="auto"/>
        <w:jc w:val="center"/>
        <w:outlineLvl w:val="0"/>
        <w:rPr>
          <w:rFonts w:hint="eastAsia" w:asciiTheme="minorEastAsia" w:hAnsiTheme="minorEastAsia" w:eastAsiaTheme="minorEastAsia"/>
          <w:b/>
          <w:color w:val="auto"/>
          <w:sz w:val="28"/>
          <w:highlight w:val="none"/>
        </w:rPr>
      </w:pPr>
      <w:bookmarkStart w:id="34" w:name="_Toc25304"/>
    </w:p>
    <w:p w14:paraId="5586CC1D">
      <w:pPr>
        <w:spacing w:line="360" w:lineRule="auto"/>
        <w:jc w:val="center"/>
        <w:outlineLvl w:val="0"/>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34"/>
    </w:p>
    <w:p w14:paraId="2F5158DE">
      <w:pPr>
        <w:spacing w:line="360" w:lineRule="auto"/>
        <w:jc w:val="center"/>
        <w:outlineLvl w:val="1"/>
        <w:rPr>
          <w:rFonts w:hint="eastAsia" w:asciiTheme="minorEastAsia" w:hAnsiTheme="minorEastAsia" w:eastAsiaTheme="minorEastAsia"/>
          <w:b/>
          <w:color w:val="auto"/>
          <w:sz w:val="24"/>
          <w:highlight w:val="none"/>
        </w:rPr>
      </w:pPr>
      <w:bookmarkStart w:id="35" w:name="_Toc29083"/>
      <w:bookmarkStart w:id="36" w:name="_Toc3114"/>
      <w:bookmarkStart w:id="37"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5"/>
      <w:bookmarkEnd w:id="36"/>
      <w:bookmarkEnd w:id="37"/>
    </w:p>
    <w:p w14:paraId="5ECAF871">
      <w:pPr>
        <w:spacing w:line="360" w:lineRule="auto"/>
        <w:ind w:firstLine="435"/>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6"/>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79E3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AE0E279">
            <w:pPr>
              <w:pStyle w:val="44"/>
              <w:keepNext w:val="0"/>
              <w:keepLines w:val="0"/>
              <w:widowControl w:val="0"/>
              <w:suppressLineNumbers w:val="0"/>
              <w:spacing w:before="0" w:beforeAutospacing="0" w:after="0" w:afterAutospacing="0" w:line="400" w:lineRule="exact"/>
              <w:ind w:left="0" w:right="0" w:firstLine="45"/>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05D1713">
            <w:pPr>
              <w:pStyle w:val="44"/>
              <w:keepNext w:val="0"/>
              <w:keepLines w:val="0"/>
              <w:widowControl w:val="0"/>
              <w:suppressLineNumbers w:val="0"/>
              <w:spacing w:before="0" w:beforeAutospacing="0" w:after="0" w:afterAutospacing="0" w:line="400" w:lineRule="exact"/>
              <w:ind w:left="0" w:right="0" w:firstLine="45"/>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5E4AE295">
            <w:pPr>
              <w:pStyle w:val="44"/>
              <w:keepNext w:val="0"/>
              <w:keepLines w:val="0"/>
              <w:widowControl w:val="0"/>
              <w:suppressLineNumbers w:val="0"/>
              <w:spacing w:before="0" w:beforeAutospacing="0" w:after="0" w:afterAutospacing="0" w:line="400" w:lineRule="exact"/>
              <w:ind w:left="0" w:right="0" w:firstLine="45"/>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815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03B5C09">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5</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20467B98">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3244" w:type="pct"/>
            <w:vAlign w:val="center"/>
          </w:tcPr>
          <w:p w14:paraId="4B004425">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rPr>
            </w:pPr>
            <w:r>
              <w:rPr>
                <w:rFonts w:hint="default" w:ascii="Segoe UI Symbol" w:hAnsi="Segoe UI Symbol" w:eastAsia="宋体" w:cs="Segoe UI Symbol"/>
                <w:bCs/>
                <w:color w:val="auto"/>
                <w:sz w:val="24"/>
                <w:szCs w:val="24"/>
                <w:highlight w:val="none"/>
              </w:rPr>
              <w:t>☑</w:t>
            </w:r>
            <w:r>
              <w:rPr>
                <w:rFonts w:hint="eastAsia" w:ascii="宋体" w:hAnsi="宋体" w:eastAsia="宋体"/>
                <w:color w:val="auto"/>
                <w:sz w:val="24"/>
                <w:szCs w:val="20"/>
                <w:highlight w:val="none"/>
              </w:rPr>
              <w:t>不组织或不召开</w:t>
            </w:r>
          </w:p>
          <w:p w14:paraId="644315AF">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rPr>
            </w:pPr>
            <w:r>
              <w:rPr>
                <w:rFonts w:hint="eastAsia" w:ascii="宋体" w:hAnsi="宋体" w:eastAsia="宋体"/>
                <w:color w:val="auto"/>
                <w:sz w:val="24"/>
                <w:szCs w:val="20"/>
                <w:highlight w:val="none"/>
              </w:rPr>
              <w:t>□</w:t>
            </w:r>
            <w:r>
              <w:rPr>
                <w:rFonts w:hint="eastAsia" w:ascii="宋体" w:hAnsi="宋体" w:eastAsia="宋体"/>
                <w:bCs/>
                <w:color w:val="auto"/>
                <w:sz w:val="24"/>
                <w:szCs w:val="20"/>
                <w:highlight w:val="none"/>
              </w:rPr>
              <w:t>统一组织或统一召开</w:t>
            </w:r>
          </w:p>
          <w:p w14:paraId="7CA3B708">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u w:val="single"/>
              </w:rPr>
            </w:pPr>
            <w:r>
              <w:rPr>
                <w:rFonts w:hint="eastAsia" w:ascii="宋体" w:hAnsi="宋体" w:eastAsia="宋体"/>
                <w:bCs/>
                <w:color w:val="auto"/>
                <w:sz w:val="24"/>
                <w:szCs w:val="20"/>
                <w:highlight w:val="none"/>
              </w:rPr>
              <w:t>时间：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月</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日</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时</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分</w:t>
            </w:r>
          </w:p>
          <w:p w14:paraId="2FB1B3A8">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u w:val="single"/>
              </w:rPr>
            </w:pPr>
            <w:r>
              <w:rPr>
                <w:rFonts w:hint="eastAsia" w:ascii="宋体" w:hAnsi="宋体" w:eastAsia="宋体"/>
                <w:bCs/>
                <w:color w:val="auto"/>
                <w:sz w:val="24"/>
                <w:szCs w:val="20"/>
                <w:highlight w:val="none"/>
              </w:rPr>
              <w:t>地点：</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u w:val="single"/>
              </w:rPr>
              <w:t>/</w:t>
            </w:r>
            <w:r>
              <w:rPr>
                <w:rFonts w:hint="default" w:ascii="宋体" w:hAnsi="宋体" w:eastAsia="宋体"/>
                <w:bCs/>
                <w:color w:val="auto"/>
                <w:sz w:val="24"/>
                <w:szCs w:val="20"/>
                <w:highlight w:val="none"/>
                <w:u w:val="single"/>
              </w:rPr>
              <w:t xml:space="preserve">             </w:t>
            </w:r>
          </w:p>
          <w:p w14:paraId="4F45F059">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u w:val="single"/>
              </w:rPr>
            </w:pPr>
            <w:r>
              <w:rPr>
                <w:rFonts w:hint="eastAsia" w:ascii="宋体" w:hAnsi="宋体" w:eastAsia="宋体"/>
                <w:bCs/>
                <w:color w:val="auto"/>
                <w:sz w:val="24"/>
                <w:szCs w:val="20"/>
                <w:highlight w:val="none"/>
              </w:rPr>
              <w:t>联系人及联系电话：</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u w:val="single"/>
              </w:rPr>
              <w:t>/</w:t>
            </w:r>
            <w:r>
              <w:rPr>
                <w:rFonts w:hint="default" w:ascii="宋体" w:hAnsi="宋体" w:eastAsia="宋体"/>
                <w:bCs/>
                <w:color w:val="auto"/>
                <w:sz w:val="24"/>
                <w:szCs w:val="20"/>
                <w:highlight w:val="none"/>
                <w:u w:val="single"/>
              </w:rPr>
              <w:t xml:space="preserve">        </w:t>
            </w:r>
          </w:p>
          <w:p w14:paraId="492268A3">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4FDD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CBB491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6</w:t>
            </w:r>
            <w:r>
              <w:rPr>
                <w:rFonts w:hint="default" w:ascii="宋体" w:hAnsi="宋体" w:eastAsia="宋体"/>
                <w:bCs/>
                <w:color w:val="auto"/>
                <w:kern w:val="2"/>
                <w:highlight w:val="none"/>
              </w:rPr>
              <w:t>.1</w:t>
            </w:r>
          </w:p>
        </w:tc>
        <w:tc>
          <w:tcPr>
            <w:tcW w:w="1174" w:type="pct"/>
            <w:vAlign w:val="center"/>
          </w:tcPr>
          <w:p w14:paraId="67EEE35F">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52959764">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cs="宋体"/>
                <w:b w:val="0"/>
                <w:bCs w:val="0"/>
                <w:color w:val="auto"/>
                <w:sz w:val="24"/>
                <w:szCs w:val="24"/>
                <w:highlight w:val="none"/>
                <w:u w:val="none"/>
                <w:lang w:bidi="ar"/>
              </w:rPr>
              <w:t>202</w:t>
            </w:r>
            <w:r>
              <w:rPr>
                <w:rFonts w:hint="eastAsia" w:ascii="宋体" w:hAnsi="宋体" w:eastAsia="宋体" w:cs="宋体"/>
                <w:b w:val="0"/>
                <w:bCs w:val="0"/>
                <w:color w:val="auto"/>
                <w:sz w:val="24"/>
                <w:szCs w:val="24"/>
                <w:highlight w:val="none"/>
                <w:u w:val="none"/>
                <w:lang w:val="en-US" w:eastAsia="zh-CN" w:bidi="ar"/>
              </w:rPr>
              <w:t>6</w:t>
            </w:r>
            <w:r>
              <w:rPr>
                <w:rFonts w:hint="eastAsia" w:ascii="宋体" w:hAnsi="宋体" w:eastAsia="宋体" w:cs="宋体"/>
                <w:b w:val="0"/>
                <w:bCs w:val="0"/>
                <w:color w:val="auto"/>
                <w:sz w:val="24"/>
                <w:szCs w:val="24"/>
                <w:highlight w:val="none"/>
                <w:u w:val="none"/>
                <w:lang w:bidi="ar"/>
              </w:rPr>
              <w:t>年</w:t>
            </w:r>
            <w:r>
              <w:rPr>
                <w:rFonts w:hint="eastAsia" w:ascii="宋体" w:hAnsi="宋体" w:eastAsia="宋体" w:cs="宋体"/>
                <w:b w:val="0"/>
                <w:bCs w:val="0"/>
                <w:color w:val="auto"/>
                <w:sz w:val="24"/>
                <w:szCs w:val="24"/>
                <w:highlight w:val="none"/>
                <w:u w:val="none"/>
                <w:lang w:val="en-US" w:eastAsia="zh-CN" w:bidi="ar"/>
              </w:rPr>
              <w:t>9</w:t>
            </w:r>
            <w:r>
              <w:rPr>
                <w:rFonts w:hint="eastAsia" w:ascii="宋体" w:hAnsi="宋体" w:eastAsia="宋体" w:cs="宋体"/>
                <w:b w:val="0"/>
                <w:bCs w:val="0"/>
                <w:color w:val="auto"/>
                <w:sz w:val="24"/>
                <w:szCs w:val="24"/>
                <w:highlight w:val="none"/>
                <w:u w:val="none"/>
                <w:lang w:bidi="ar"/>
              </w:rPr>
              <w:t>月</w:t>
            </w:r>
            <w:r>
              <w:rPr>
                <w:rFonts w:hint="eastAsia" w:ascii="宋体" w:hAnsi="宋体" w:eastAsia="宋体" w:cs="宋体"/>
                <w:b w:val="0"/>
                <w:bCs w:val="0"/>
                <w:color w:val="auto"/>
                <w:sz w:val="24"/>
                <w:szCs w:val="24"/>
                <w:highlight w:val="none"/>
                <w:u w:val="none"/>
                <w:lang w:val="en-US" w:eastAsia="zh-CN" w:bidi="ar"/>
              </w:rPr>
              <w:t>10</w:t>
            </w:r>
            <w:r>
              <w:rPr>
                <w:rFonts w:hint="eastAsia" w:ascii="宋体" w:hAnsi="宋体" w:eastAsia="宋体" w:cs="宋体"/>
                <w:b w:val="0"/>
                <w:bCs w:val="0"/>
                <w:color w:val="auto"/>
                <w:sz w:val="24"/>
                <w:szCs w:val="24"/>
                <w:highlight w:val="none"/>
                <w:u w:val="none"/>
                <w:lang w:bidi="ar"/>
              </w:rPr>
              <w:t>日</w:t>
            </w:r>
            <w:r>
              <w:rPr>
                <w:rFonts w:hint="eastAsia" w:ascii="宋体" w:hAnsi="宋体" w:eastAsia="宋体"/>
                <w:b w:val="0"/>
                <w:color w:val="auto"/>
                <w:sz w:val="24"/>
                <w:highlight w:val="none"/>
                <w:u w:val="none"/>
              </w:rPr>
              <w:t>17</w:t>
            </w:r>
            <w:r>
              <w:rPr>
                <w:rFonts w:hint="default" w:ascii="宋体" w:hAnsi="宋体" w:eastAsia="宋体"/>
                <w:b w:val="0"/>
                <w:color w:val="auto"/>
                <w:sz w:val="24"/>
                <w:highlight w:val="none"/>
                <w:u w:val="none"/>
              </w:rPr>
              <w:t>时</w:t>
            </w:r>
            <w:r>
              <w:rPr>
                <w:rFonts w:hint="eastAsia" w:ascii="宋体" w:hAnsi="宋体" w:eastAsia="宋体"/>
                <w:b w:val="0"/>
                <w:color w:val="auto"/>
                <w:sz w:val="24"/>
                <w:highlight w:val="none"/>
                <w:u w:val="none"/>
              </w:rPr>
              <w:t>00分</w:t>
            </w:r>
          </w:p>
        </w:tc>
      </w:tr>
      <w:tr w14:paraId="53E5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9D67E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7</w:t>
            </w:r>
            <w:r>
              <w:rPr>
                <w:rFonts w:hint="default" w:ascii="宋体" w:hAnsi="宋体" w:eastAsia="宋体"/>
                <w:bCs/>
                <w:color w:val="auto"/>
                <w:kern w:val="2"/>
                <w:highlight w:val="none"/>
              </w:rPr>
              <w:t>.1</w:t>
            </w:r>
          </w:p>
        </w:tc>
        <w:tc>
          <w:tcPr>
            <w:tcW w:w="1174" w:type="pct"/>
            <w:vAlign w:val="center"/>
          </w:tcPr>
          <w:p w14:paraId="3CA74987">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78BCA69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default" w:ascii="Segoe UI Symbol" w:hAnsi="Segoe UI Symbol" w:eastAsia="宋体" w:cs="Segoe UI Symbol"/>
                <w:b w:val="0"/>
                <w:bCs w:val="0"/>
                <w:color w:val="auto"/>
                <w:sz w:val="24"/>
                <w:szCs w:val="24"/>
                <w:highlight w:val="none"/>
              </w:rPr>
              <w:t>☑</w:t>
            </w:r>
            <w:r>
              <w:rPr>
                <w:rFonts w:hint="default" w:ascii="宋体" w:hAnsi="宋体" w:eastAsia="宋体"/>
                <w:b w:val="0"/>
                <w:color w:val="auto"/>
                <w:sz w:val="24"/>
                <w:highlight w:val="none"/>
              </w:rPr>
              <w:t>不分包     □分为</w:t>
            </w:r>
            <w:r>
              <w:rPr>
                <w:rFonts w:hint="eastAsia" w:ascii="宋体" w:hAnsi="宋体" w:eastAsia="宋体"/>
                <w:b w:val="0"/>
                <w:color w:val="auto"/>
                <w:sz w:val="24"/>
                <w:highlight w:val="none"/>
                <w:u w:val="single"/>
              </w:rPr>
              <w:t>/</w:t>
            </w:r>
            <w:r>
              <w:rPr>
                <w:rFonts w:hint="default" w:ascii="宋体" w:hAnsi="宋体" w:eastAsia="宋体"/>
                <w:b w:val="0"/>
                <w:color w:val="auto"/>
                <w:sz w:val="24"/>
                <w:highlight w:val="none"/>
              </w:rPr>
              <w:t xml:space="preserve"> 个包</w:t>
            </w:r>
          </w:p>
          <w:p w14:paraId="7850EEC9">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hint="default"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w:t>
            </w:r>
            <w:r>
              <w:rPr>
                <w:rFonts w:hint="default" w:ascii="宋体" w:hAnsi="宋体" w:eastAsia="宋体"/>
                <w:b w:val="0"/>
                <w:bCs w:val="0"/>
                <w:color w:val="auto"/>
                <w:sz w:val="24"/>
                <w:szCs w:val="18"/>
                <w:highlight w:val="none"/>
                <w:u w:val="single"/>
              </w:rPr>
              <w:t xml:space="preserve">  </w:t>
            </w:r>
          </w:p>
        </w:tc>
      </w:tr>
      <w:tr w14:paraId="7CC3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28080F9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10</w:t>
            </w:r>
            <w:r>
              <w:rPr>
                <w:rFonts w:hint="default" w:ascii="宋体" w:hAnsi="宋体" w:eastAsia="宋体"/>
                <w:bCs/>
                <w:color w:val="auto"/>
                <w:kern w:val="2"/>
                <w:highlight w:val="none"/>
              </w:rPr>
              <w:t>.1</w:t>
            </w:r>
          </w:p>
        </w:tc>
        <w:tc>
          <w:tcPr>
            <w:tcW w:w="1174" w:type="pct"/>
            <w:vAlign w:val="center"/>
          </w:tcPr>
          <w:p w14:paraId="5849C2CE">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20C33B38">
            <w:pPr>
              <w:keepNext w:val="0"/>
              <w:keepLines w:val="0"/>
              <w:suppressLineNumbers w:val="0"/>
              <w:spacing w:before="0" w:beforeAutospacing="0" w:after="0" w:afterAutospacing="0" w:line="400" w:lineRule="exact"/>
              <w:ind w:left="0" w:right="0" w:firstLine="45"/>
              <w:rPr>
                <w:rFonts w:hint="eastAsia"/>
                <w:color w:val="auto"/>
                <w:szCs w:val="20"/>
                <w:highlight w:val="none"/>
              </w:rPr>
            </w:pPr>
            <w:r>
              <w:rPr>
                <w:rFonts w:hint="eastAsia" w:ascii="宋体" w:hAnsi="宋体" w:eastAsia="宋体"/>
                <w:bCs/>
                <w:color w:val="auto"/>
                <w:kern w:val="0"/>
                <w:sz w:val="24"/>
                <w:szCs w:val="28"/>
                <w:highlight w:val="none"/>
              </w:rPr>
              <w:t>不收取</w:t>
            </w:r>
          </w:p>
        </w:tc>
      </w:tr>
      <w:tr w14:paraId="15B2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6EF373D">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11</w:t>
            </w:r>
            <w:r>
              <w:rPr>
                <w:rFonts w:hint="default" w:ascii="宋体" w:hAnsi="宋体" w:eastAsia="宋体"/>
                <w:bCs/>
                <w:color w:val="auto"/>
                <w:kern w:val="2"/>
                <w:highlight w:val="none"/>
              </w:rPr>
              <w:t>.1</w:t>
            </w:r>
          </w:p>
        </w:tc>
        <w:tc>
          <w:tcPr>
            <w:tcW w:w="1174" w:type="pct"/>
            <w:vAlign w:val="center"/>
          </w:tcPr>
          <w:p w14:paraId="5227182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0D710F3">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个</w:t>
            </w:r>
            <w:r>
              <w:rPr>
                <w:rFonts w:hint="eastAsia" w:ascii="宋体" w:hAnsi="宋体" w:eastAsia="宋体"/>
                <w:b w:val="0"/>
                <w:color w:val="auto"/>
                <w:sz w:val="24"/>
                <w:highlight w:val="none"/>
              </w:rPr>
              <w:t>日历日</w:t>
            </w:r>
          </w:p>
        </w:tc>
      </w:tr>
      <w:tr w14:paraId="1287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8C0D6D7">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12.3</w:t>
            </w:r>
          </w:p>
        </w:tc>
        <w:tc>
          <w:tcPr>
            <w:tcW w:w="1174" w:type="pct"/>
            <w:vAlign w:val="center"/>
          </w:tcPr>
          <w:p w14:paraId="48FEE167">
            <w:pPr>
              <w:keepNext w:val="0"/>
              <w:keepLines w:val="0"/>
              <w:widowControl/>
              <w:suppressLineNumbers w:val="0"/>
              <w:spacing w:before="0" w:beforeAutospacing="0" w:after="0" w:afterAutospacing="0" w:line="400" w:lineRule="exact"/>
              <w:ind w:left="0" w:right="0" w:firstLine="45"/>
              <w:jc w:val="left"/>
              <w:rPr>
                <w:rFonts w:hint="eastAsia" w:ascii="宋体" w:hAnsi="宋体" w:eastAsia="宋体"/>
                <w:color w:val="auto"/>
                <w:sz w:val="24"/>
                <w:szCs w:val="20"/>
                <w:highlight w:val="none"/>
              </w:rPr>
            </w:pPr>
            <w:r>
              <w:rPr>
                <w:rFonts w:hint="eastAsia" w:ascii="宋体" w:hAnsi="宋体" w:eastAsia="宋体" w:cs="宋体"/>
                <w:b/>
                <w:bCs/>
                <w:color w:val="auto"/>
                <w:sz w:val="24"/>
                <w:szCs w:val="24"/>
                <w:highlight w:val="none"/>
                <w:lang w:bidi="ar"/>
              </w:rPr>
              <w:t>提交投标文件截止时间和地点</w:t>
            </w:r>
          </w:p>
        </w:tc>
        <w:tc>
          <w:tcPr>
            <w:tcW w:w="3244" w:type="pct"/>
            <w:vAlign w:val="center"/>
          </w:tcPr>
          <w:p w14:paraId="751A0A73">
            <w:pPr>
              <w:keepNext w:val="0"/>
              <w:keepLines w:val="0"/>
              <w:suppressLineNumbers w:val="0"/>
              <w:autoSpaceDE w:val="0"/>
              <w:spacing w:before="0" w:beforeAutospacing="0" w:after="0" w:afterAutospacing="0" w:line="400" w:lineRule="exact"/>
              <w:ind w:left="0" w:right="0" w:firstLine="45"/>
              <w:outlineLvl w:val="2"/>
              <w:rPr>
                <w:rFonts w:hint="eastAsia" w:ascii="宋体" w:hAnsi="宋体" w:eastAsia="宋体" w:cs="宋体"/>
                <w:bCs/>
                <w:color w:val="auto"/>
                <w:sz w:val="24"/>
                <w:szCs w:val="24"/>
                <w:highlight w:val="none"/>
                <w:u w:val="single"/>
              </w:rPr>
            </w:pPr>
            <w:r>
              <w:rPr>
                <w:rFonts w:hint="eastAsia" w:ascii="宋体" w:hAnsi="宋体" w:eastAsia="宋体" w:cs="宋体"/>
                <w:b/>
                <w:bCs/>
                <w:color w:val="auto"/>
                <w:sz w:val="24"/>
                <w:szCs w:val="24"/>
                <w:highlight w:val="none"/>
                <w:lang w:bidi="ar"/>
              </w:rPr>
              <w:t>时间：</w:t>
            </w:r>
            <w:r>
              <w:rPr>
                <w:rFonts w:hint="eastAsia" w:ascii="宋体" w:hAnsi="宋体" w:eastAsia="宋体" w:cs="宋体"/>
                <w:color w:val="auto"/>
                <w:sz w:val="24"/>
                <w:szCs w:val="24"/>
                <w:highlight w:val="none"/>
                <w:u w:val="none"/>
                <w:lang w:bidi="ar"/>
              </w:rPr>
              <w:t>202</w:t>
            </w:r>
            <w:r>
              <w:rPr>
                <w:rFonts w:hint="eastAsia" w:ascii="宋体" w:hAnsi="宋体" w:eastAsia="宋体" w:cs="宋体"/>
                <w:color w:val="auto"/>
                <w:sz w:val="24"/>
                <w:szCs w:val="24"/>
                <w:highlight w:val="none"/>
                <w:u w:val="none"/>
                <w:lang w:val="en-US" w:eastAsia="zh-CN" w:bidi="ar"/>
              </w:rPr>
              <w:t>6</w:t>
            </w:r>
            <w:r>
              <w:rPr>
                <w:rFonts w:hint="eastAsia" w:ascii="宋体" w:hAnsi="宋体" w:eastAsia="宋体" w:cs="宋体"/>
                <w:bCs/>
                <w:color w:val="auto"/>
                <w:sz w:val="24"/>
                <w:szCs w:val="24"/>
                <w:highlight w:val="none"/>
                <w:u w:val="none"/>
                <w:lang w:bidi="ar"/>
              </w:rPr>
              <w:t>年</w:t>
            </w:r>
            <w:r>
              <w:rPr>
                <w:rFonts w:hint="eastAsia" w:ascii="宋体" w:hAnsi="宋体" w:eastAsia="宋体" w:cs="宋体"/>
                <w:bCs/>
                <w:color w:val="auto"/>
                <w:sz w:val="24"/>
                <w:szCs w:val="24"/>
                <w:highlight w:val="none"/>
                <w:u w:val="none"/>
                <w:lang w:val="en-US" w:eastAsia="zh-CN" w:bidi="ar"/>
              </w:rPr>
              <w:t>9</w:t>
            </w:r>
            <w:r>
              <w:rPr>
                <w:rFonts w:hint="eastAsia" w:ascii="宋体" w:hAnsi="宋体" w:eastAsia="宋体" w:cs="宋体"/>
                <w:bCs/>
                <w:color w:val="auto"/>
                <w:sz w:val="24"/>
                <w:szCs w:val="24"/>
                <w:highlight w:val="none"/>
                <w:u w:val="none"/>
                <w:lang w:bidi="ar"/>
              </w:rPr>
              <w:t>月</w:t>
            </w:r>
            <w:r>
              <w:rPr>
                <w:rFonts w:hint="eastAsia" w:ascii="宋体" w:hAnsi="宋体" w:eastAsia="宋体" w:cs="宋体"/>
                <w:bCs/>
                <w:color w:val="auto"/>
                <w:sz w:val="24"/>
                <w:szCs w:val="24"/>
                <w:highlight w:val="none"/>
                <w:u w:val="none"/>
                <w:lang w:val="en-US" w:eastAsia="zh-CN" w:bidi="ar"/>
              </w:rPr>
              <w:t>11</w:t>
            </w:r>
            <w:r>
              <w:rPr>
                <w:rFonts w:hint="eastAsia" w:ascii="宋体" w:hAnsi="宋体" w:eastAsia="宋体" w:cs="宋体"/>
                <w:bCs/>
                <w:color w:val="auto"/>
                <w:sz w:val="24"/>
                <w:szCs w:val="24"/>
                <w:highlight w:val="none"/>
                <w:u w:val="none"/>
                <w:lang w:bidi="ar"/>
              </w:rPr>
              <w:t>日</w:t>
            </w:r>
            <w:r>
              <w:rPr>
                <w:rFonts w:hint="eastAsia" w:ascii="宋体" w:hAnsi="宋体" w:eastAsia="宋体" w:cs="宋体"/>
                <w:bCs/>
                <w:color w:val="auto"/>
                <w:sz w:val="24"/>
                <w:szCs w:val="24"/>
                <w:highlight w:val="none"/>
                <w:u w:val="none"/>
                <w:lang w:val="en-US" w:eastAsia="zh-CN" w:bidi="ar"/>
              </w:rPr>
              <w:t xml:space="preserve">15 </w:t>
            </w:r>
            <w:r>
              <w:rPr>
                <w:rFonts w:hint="eastAsia" w:ascii="宋体" w:hAnsi="宋体" w:eastAsia="宋体" w:cs="宋体"/>
                <w:bCs/>
                <w:color w:val="auto"/>
                <w:sz w:val="24"/>
                <w:szCs w:val="24"/>
                <w:highlight w:val="none"/>
                <w:u w:val="none"/>
                <w:lang w:bidi="ar"/>
              </w:rPr>
              <w:t>点</w:t>
            </w:r>
            <w:r>
              <w:rPr>
                <w:rFonts w:hint="eastAsia" w:ascii="宋体" w:hAnsi="宋体" w:eastAsia="宋体" w:cs="宋体"/>
                <w:bCs/>
                <w:color w:val="auto"/>
                <w:sz w:val="24"/>
                <w:szCs w:val="24"/>
                <w:highlight w:val="none"/>
                <w:u w:val="none"/>
                <w:lang w:val="en-US" w:eastAsia="zh-CN" w:bidi="ar"/>
              </w:rPr>
              <w:t>00</w:t>
            </w:r>
            <w:r>
              <w:rPr>
                <w:rFonts w:hint="eastAsia" w:ascii="宋体" w:hAnsi="宋体" w:eastAsia="宋体" w:cs="宋体"/>
                <w:bCs/>
                <w:color w:val="auto"/>
                <w:sz w:val="24"/>
                <w:szCs w:val="24"/>
                <w:highlight w:val="none"/>
                <w:u w:val="none"/>
                <w:lang w:bidi="ar"/>
              </w:rPr>
              <w:t>分（北</w:t>
            </w:r>
            <w:r>
              <w:rPr>
                <w:rFonts w:hint="eastAsia" w:ascii="宋体" w:hAnsi="宋体" w:eastAsia="宋体" w:cs="宋体"/>
                <w:bCs/>
                <w:color w:val="auto"/>
                <w:sz w:val="24"/>
                <w:szCs w:val="24"/>
                <w:highlight w:val="none"/>
                <w:lang w:bidi="ar"/>
              </w:rPr>
              <w:t>京时间）</w:t>
            </w:r>
          </w:p>
          <w:p w14:paraId="030FDC69">
            <w:pPr>
              <w:keepNext w:val="0"/>
              <w:keepLines w:val="0"/>
              <w:suppressLineNumbers w:val="0"/>
              <w:autoSpaceDE w:val="0"/>
              <w:spacing w:before="0" w:beforeAutospacing="0" w:after="0" w:afterAutospacing="0" w:line="400" w:lineRule="exact"/>
              <w:ind w:left="0" w:right="0" w:firstLine="45"/>
              <w:outlineLvl w:val="2"/>
              <w:rPr>
                <w:rFonts w:hint="eastAsia" w:ascii="宋体" w:hAnsi="宋体" w:eastAsia="宋体"/>
                <w:color w:val="auto"/>
                <w:sz w:val="24"/>
                <w:szCs w:val="20"/>
                <w:highlight w:val="none"/>
                <w:u w:val="single"/>
              </w:rPr>
            </w:pPr>
            <w:r>
              <w:rPr>
                <w:rFonts w:hint="eastAsia" w:ascii="宋体" w:hAnsi="宋体" w:eastAsia="宋体" w:cs="宋体"/>
                <w:b/>
                <w:bCs/>
                <w:color w:val="auto"/>
                <w:sz w:val="24"/>
                <w:szCs w:val="24"/>
                <w:highlight w:val="none"/>
                <w:lang w:bidi="ar"/>
              </w:rPr>
              <w:t>地点：</w:t>
            </w:r>
            <w:r>
              <w:rPr>
                <w:rFonts w:hint="eastAsia" w:asciiTheme="minorEastAsia" w:hAnsiTheme="minorEastAsia" w:eastAsiaTheme="minorEastAsia"/>
                <w:b/>
                <w:bCs/>
                <w:color w:val="auto"/>
                <w:sz w:val="24"/>
                <w:szCs w:val="18"/>
                <w:highlight w:val="none"/>
              </w:rPr>
              <w:t>滁州市醉翁西路369号，滁州市第一人民医院南区行政部五楼西招标办（请各投标人在投标文件提交截止时间前将投标文件递送或邮寄至滁州市第一人民医院南区行政部五楼西招标办，招标办联系电话：0550-3526032；采用邮寄方式提交，供应商请自行计算好邮件路途中所需的时间，逾期的概不接受）</w:t>
            </w:r>
            <w:r>
              <w:rPr>
                <w:rFonts w:hint="eastAsia" w:asciiTheme="minorEastAsia" w:hAnsiTheme="minorEastAsia" w:eastAsiaTheme="minorEastAsia"/>
                <w:color w:val="auto"/>
                <w:sz w:val="24"/>
                <w:szCs w:val="18"/>
                <w:highlight w:val="none"/>
              </w:rPr>
              <w:t>。</w:t>
            </w:r>
          </w:p>
        </w:tc>
      </w:tr>
      <w:tr w14:paraId="20BF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DB035FC">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13.1</w:t>
            </w:r>
          </w:p>
        </w:tc>
        <w:tc>
          <w:tcPr>
            <w:tcW w:w="1174" w:type="pct"/>
            <w:shd w:val="clear" w:color="auto" w:fill="auto"/>
            <w:vAlign w:val="center"/>
          </w:tcPr>
          <w:p w14:paraId="1C140008">
            <w:pPr>
              <w:keepNext w:val="0"/>
              <w:keepLines w:val="0"/>
              <w:widowControl/>
              <w:suppressLineNumbers w:val="0"/>
              <w:spacing w:before="0" w:beforeAutospacing="0" w:after="0" w:afterAutospacing="0" w:line="400" w:lineRule="exact"/>
              <w:ind w:left="0" w:right="0" w:firstLine="45"/>
              <w:jc w:val="left"/>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开标时间和地点</w:t>
            </w:r>
          </w:p>
        </w:tc>
        <w:tc>
          <w:tcPr>
            <w:tcW w:w="3244" w:type="pct"/>
            <w:shd w:val="clear" w:color="auto" w:fill="auto"/>
            <w:vAlign w:val="center"/>
          </w:tcPr>
          <w:p w14:paraId="4651F392">
            <w:pPr>
              <w:keepNext w:val="0"/>
              <w:keepLines w:val="0"/>
              <w:suppressLineNumbers w:val="0"/>
              <w:spacing w:before="0" w:beforeAutospacing="0" w:after="0" w:afterAutospacing="0" w:line="400" w:lineRule="exact"/>
              <w:ind w:left="0" w:right="0" w:firstLine="45"/>
              <w:rPr>
                <w:rFonts w:hint="eastAsia" w:ascii="宋体" w:hAnsi="宋体" w:eastAsia="宋体" w:cs="宋体"/>
                <w:color w:val="auto"/>
                <w:sz w:val="24"/>
                <w:szCs w:val="20"/>
                <w:highlight w:val="none"/>
              </w:rPr>
            </w:pPr>
            <w:r>
              <w:rPr>
                <w:rFonts w:hint="eastAsia" w:ascii="宋体" w:hAnsi="宋体" w:eastAsia="宋体" w:cs="宋体"/>
                <w:color w:val="auto"/>
                <w:kern w:val="0"/>
                <w:sz w:val="24"/>
                <w:szCs w:val="20"/>
                <w:highlight w:val="none"/>
              </w:rPr>
              <w:t>开标时间：</w:t>
            </w:r>
            <w:r>
              <w:rPr>
                <w:rFonts w:hint="eastAsia" w:ascii="宋体" w:hAnsi="宋体" w:eastAsia="宋体" w:cs="宋体"/>
                <w:color w:val="auto"/>
                <w:sz w:val="24"/>
                <w:szCs w:val="24"/>
                <w:highlight w:val="none"/>
                <w:u w:val="none"/>
                <w:lang w:bidi="ar"/>
              </w:rPr>
              <w:t>202</w:t>
            </w:r>
            <w:r>
              <w:rPr>
                <w:rFonts w:hint="eastAsia" w:ascii="宋体" w:hAnsi="宋体" w:eastAsia="宋体" w:cs="宋体"/>
                <w:color w:val="auto"/>
                <w:sz w:val="24"/>
                <w:szCs w:val="24"/>
                <w:highlight w:val="none"/>
                <w:u w:val="none"/>
                <w:lang w:val="en-US" w:eastAsia="zh-CN" w:bidi="ar"/>
              </w:rPr>
              <w:t>6</w:t>
            </w:r>
            <w:r>
              <w:rPr>
                <w:rFonts w:hint="eastAsia" w:ascii="宋体" w:hAnsi="宋体" w:eastAsia="宋体" w:cs="宋体"/>
                <w:color w:val="auto"/>
                <w:sz w:val="24"/>
                <w:szCs w:val="24"/>
                <w:highlight w:val="none"/>
                <w:u w:val="none"/>
                <w:lang w:bidi="ar"/>
              </w:rPr>
              <w:t>年</w:t>
            </w:r>
            <w:r>
              <w:rPr>
                <w:rFonts w:hint="eastAsia" w:ascii="宋体" w:hAnsi="宋体" w:eastAsia="宋体" w:cs="宋体"/>
                <w:color w:val="auto"/>
                <w:sz w:val="24"/>
                <w:szCs w:val="24"/>
                <w:highlight w:val="none"/>
                <w:u w:val="none"/>
                <w:lang w:val="en-US" w:eastAsia="zh-CN" w:bidi="ar"/>
              </w:rPr>
              <w:t>9</w:t>
            </w:r>
            <w:r>
              <w:rPr>
                <w:rFonts w:hint="eastAsia" w:ascii="宋体" w:hAnsi="宋体" w:eastAsia="宋体" w:cs="宋体"/>
                <w:color w:val="auto"/>
                <w:sz w:val="24"/>
                <w:szCs w:val="24"/>
                <w:highlight w:val="none"/>
                <w:u w:val="none"/>
                <w:lang w:bidi="ar"/>
              </w:rPr>
              <w:t>月</w:t>
            </w:r>
            <w:r>
              <w:rPr>
                <w:rFonts w:hint="eastAsia" w:ascii="宋体" w:hAnsi="宋体" w:eastAsia="宋体" w:cs="宋体"/>
                <w:color w:val="auto"/>
                <w:sz w:val="24"/>
                <w:szCs w:val="24"/>
                <w:highlight w:val="none"/>
                <w:u w:val="none"/>
                <w:lang w:val="en-US" w:eastAsia="zh-CN" w:bidi="ar"/>
              </w:rPr>
              <w:t>11</w:t>
            </w:r>
            <w:r>
              <w:rPr>
                <w:rFonts w:hint="eastAsia" w:ascii="宋体" w:hAnsi="宋体" w:eastAsia="宋体" w:cs="宋体"/>
                <w:color w:val="auto"/>
                <w:sz w:val="24"/>
                <w:szCs w:val="24"/>
                <w:highlight w:val="none"/>
                <w:u w:val="none"/>
                <w:lang w:bidi="ar"/>
              </w:rPr>
              <w:t>日</w:t>
            </w:r>
            <w:r>
              <w:rPr>
                <w:rFonts w:hint="eastAsia" w:ascii="宋体" w:hAnsi="宋体" w:eastAsia="宋体" w:cs="宋体"/>
                <w:color w:val="auto"/>
                <w:sz w:val="24"/>
                <w:szCs w:val="24"/>
                <w:highlight w:val="none"/>
                <w:u w:val="none"/>
                <w:lang w:val="en-US" w:eastAsia="zh-CN" w:bidi="ar"/>
              </w:rPr>
              <w:t xml:space="preserve">15 </w:t>
            </w:r>
            <w:r>
              <w:rPr>
                <w:rFonts w:hint="eastAsia" w:ascii="宋体" w:hAnsi="宋体" w:eastAsia="宋体" w:cs="宋体"/>
                <w:color w:val="auto"/>
                <w:sz w:val="24"/>
                <w:szCs w:val="24"/>
                <w:highlight w:val="none"/>
                <w:u w:val="none"/>
                <w:lang w:bidi="ar"/>
              </w:rPr>
              <w:t>点</w:t>
            </w:r>
            <w:r>
              <w:rPr>
                <w:rFonts w:hint="eastAsia" w:ascii="宋体" w:hAnsi="宋体" w:eastAsia="宋体" w:cs="宋体"/>
                <w:color w:val="auto"/>
                <w:sz w:val="24"/>
                <w:szCs w:val="24"/>
                <w:highlight w:val="none"/>
                <w:u w:val="none"/>
                <w:lang w:val="en-US" w:eastAsia="zh-CN" w:bidi="ar"/>
              </w:rPr>
              <w:t>00</w:t>
            </w:r>
            <w:r>
              <w:rPr>
                <w:rFonts w:hint="eastAsia" w:ascii="宋体" w:hAnsi="宋体" w:eastAsia="宋体" w:cs="宋体"/>
                <w:color w:val="auto"/>
                <w:sz w:val="24"/>
                <w:szCs w:val="24"/>
                <w:highlight w:val="none"/>
                <w:u w:val="none"/>
                <w:lang w:bidi="ar"/>
              </w:rPr>
              <w:t>分</w:t>
            </w:r>
            <w:r>
              <w:rPr>
                <w:rFonts w:hint="eastAsia" w:ascii="宋体" w:hAnsi="宋体" w:eastAsia="宋体" w:cs="宋体"/>
                <w:color w:val="auto"/>
                <w:sz w:val="24"/>
                <w:szCs w:val="20"/>
                <w:highlight w:val="none"/>
              </w:rPr>
              <w:t xml:space="preserve">  </w:t>
            </w:r>
          </w:p>
          <w:p w14:paraId="50F9F883">
            <w:pPr>
              <w:keepNext w:val="0"/>
              <w:keepLines w:val="0"/>
              <w:suppressLineNumbers w:val="0"/>
              <w:autoSpaceDE w:val="0"/>
              <w:spacing w:before="0" w:beforeAutospacing="0" w:after="0" w:afterAutospacing="0" w:line="400" w:lineRule="exact"/>
              <w:ind w:left="0" w:right="0" w:firstLine="45"/>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kern w:val="0"/>
                <w:sz w:val="24"/>
                <w:szCs w:val="20"/>
                <w:highlight w:val="none"/>
              </w:rPr>
              <w:t>开标地点</w:t>
            </w:r>
            <w:r>
              <w:rPr>
                <w:rFonts w:hint="eastAsia" w:ascii="宋体" w:hAnsi="宋体" w:eastAsia="宋体" w:cs="宋体"/>
                <w:color w:val="auto"/>
                <w:sz w:val="24"/>
                <w:szCs w:val="20"/>
                <w:highlight w:val="none"/>
              </w:rPr>
              <w:t>：</w:t>
            </w:r>
            <w:r>
              <w:rPr>
                <w:rFonts w:hint="eastAsia" w:ascii="宋体" w:hAnsi="宋体" w:eastAsia="宋体"/>
                <w:color w:val="auto"/>
                <w:sz w:val="24"/>
                <w:szCs w:val="18"/>
                <w:highlight w:val="none"/>
              </w:rPr>
              <w:t>滁州市第一人民医院南区行政部六楼会议室</w:t>
            </w:r>
            <w:r>
              <w:rPr>
                <w:rFonts w:hint="eastAsia" w:ascii="宋体" w:hAnsi="宋体" w:eastAsia="宋体" w:cs="宋体"/>
                <w:color w:val="auto"/>
                <w:sz w:val="24"/>
                <w:szCs w:val="20"/>
                <w:highlight w:val="none"/>
              </w:rPr>
              <w:t>。</w:t>
            </w:r>
          </w:p>
        </w:tc>
      </w:tr>
      <w:tr w14:paraId="50CD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1006F3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38B6E3A6">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5B483557">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bCs w:val="0"/>
                <w:color w:val="auto"/>
                <w:sz w:val="24"/>
                <w:highlight w:val="none"/>
              </w:rPr>
            </w:pPr>
            <w:r>
              <w:rPr>
                <w:rFonts w:hint="default" w:ascii="Segoe UI Symbol" w:hAnsi="Segoe UI Symbol" w:eastAsia="宋体" w:cs="Segoe UI Symbol"/>
                <w:b w:val="0"/>
                <w:bCs w:val="0"/>
                <w:color w:val="auto"/>
                <w:sz w:val="24"/>
                <w:szCs w:val="24"/>
                <w:highlight w:val="none"/>
              </w:rPr>
              <w:t>☑</w:t>
            </w:r>
            <w:r>
              <w:rPr>
                <w:rFonts w:hint="eastAsia" w:ascii="宋体" w:hAnsi="宋体" w:eastAsia="宋体"/>
                <w:b w:val="0"/>
                <w:bCs w:val="0"/>
                <w:color w:val="auto"/>
                <w:sz w:val="24"/>
                <w:highlight w:val="none"/>
              </w:rPr>
              <w:t>采购人审查</w:t>
            </w:r>
          </w:p>
          <w:p w14:paraId="7C3322D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u w:val="single"/>
              </w:rPr>
            </w:pPr>
            <w:r>
              <w:rPr>
                <w:rFonts w:hint="default"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0F95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2BA4C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17</w:t>
            </w:r>
            <w:r>
              <w:rPr>
                <w:rFonts w:hint="default" w:ascii="宋体" w:hAnsi="宋体" w:eastAsia="宋体"/>
                <w:bCs/>
                <w:color w:val="auto"/>
                <w:kern w:val="2"/>
                <w:highlight w:val="none"/>
              </w:rPr>
              <w:t>.2</w:t>
            </w:r>
          </w:p>
        </w:tc>
        <w:tc>
          <w:tcPr>
            <w:tcW w:w="1174" w:type="pct"/>
            <w:vAlign w:val="center"/>
          </w:tcPr>
          <w:p w14:paraId="545C4D70">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1DD3DB6">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最</w:t>
            </w:r>
            <w:r>
              <w:rPr>
                <w:rFonts w:hint="eastAsia" w:ascii="宋体" w:hAnsi="宋体" w:eastAsia="宋体"/>
                <w:b w:val="0"/>
                <w:color w:val="auto"/>
                <w:sz w:val="24"/>
                <w:highlight w:val="none"/>
                <w:lang w:val="en-US" w:eastAsia="zh-CN"/>
              </w:rPr>
              <w:t>高</w:t>
            </w:r>
            <w:r>
              <w:rPr>
                <w:rFonts w:hint="eastAsia" w:ascii="宋体" w:hAnsi="宋体" w:eastAsia="宋体"/>
                <w:b w:val="0"/>
                <w:color w:val="auto"/>
                <w:sz w:val="24"/>
                <w:highlight w:val="none"/>
              </w:rPr>
              <w:t>评标价法</w:t>
            </w:r>
          </w:p>
        </w:tc>
      </w:tr>
      <w:tr w14:paraId="6950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D842C0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hint="default"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2999A4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hint="default"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hint="default" w:ascii="宋体" w:hAnsi="宋体" w:eastAsia="宋体"/>
                <w:b w:val="0"/>
                <w:color w:val="auto"/>
                <w:sz w:val="24"/>
                <w:highlight w:val="none"/>
              </w:rPr>
              <w:t>数量</w:t>
            </w:r>
          </w:p>
        </w:tc>
        <w:tc>
          <w:tcPr>
            <w:tcW w:w="3244" w:type="pct"/>
            <w:vAlign w:val="center"/>
          </w:tcPr>
          <w:p w14:paraId="59C157C2">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single"/>
              </w:rPr>
              <w:t>3家</w:t>
            </w:r>
          </w:p>
        </w:tc>
      </w:tr>
      <w:tr w14:paraId="4D7B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4525558">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75A1063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3D78E98A">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62A42062">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b w:val="0"/>
                <w:bCs w:val="0"/>
                <w:color w:val="auto"/>
                <w:kern w:val="2"/>
                <w:sz w:val="24"/>
                <w:szCs w:val="24"/>
                <w:highlight w:val="none"/>
              </w:rPr>
              <w:t>采购人确定</w:t>
            </w:r>
          </w:p>
        </w:tc>
      </w:tr>
      <w:tr w14:paraId="3624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A8133C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default" w:ascii="宋体" w:hAnsi="宋体" w:eastAsia="宋体"/>
                <w:bCs/>
                <w:color w:val="auto"/>
                <w:kern w:val="2"/>
                <w:highlight w:val="none"/>
              </w:rPr>
              <w:t>2</w:t>
            </w:r>
            <w:r>
              <w:rPr>
                <w:rFonts w:hint="eastAsia" w:ascii="宋体" w:hAnsi="宋体" w:eastAsia="宋体"/>
                <w:bCs/>
                <w:color w:val="auto"/>
                <w:kern w:val="2"/>
                <w:highlight w:val="none"/>
              </w:rPr>
              <w:t>3</w:t>
            </w:r>
            <w:r>
              <w:rPr>
                <w:rFonts w:hint="default" w:ascii="宋体" w:hAnsi="宋体" w:eastAsia="宋体"/>
                <w:bCs/>
                <w:color w:val="auto"/>
                <w:kern w:val="2"/>
                <w:highlight w:val="none"/>
              </w:rPr>
              <w:t>.3</w:t>
            </w:r>
          </w:p>
        </w:tc>
        <w:tc>
          <w:tcPr>
            <w:tcW w:w="1174" w:type="pct"/>
            <w:vAlign w:val="center"/>
          </w:tcPr>
          <w:p w14:paraId="19AB0267">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3244" w:type="pct"/>
            <w:vAlign w:val="center"/>
          </w:tcPr>
          <w:p w14:paraId="07828B3F">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bCs w:val="0"/>
                <w:color w:val="auto"/>
                <w:sz w:val="24"/>
                <w:szCs w:val="24"/>
                <w:highlight w:val="none"/>
              </w:rPr>
            </w:pPr>
            <w:r>
              <w:rPr>
                <w:rFonts w:hint="eastAsia" w:ascii="宋体" w:hAnsi="宋体" w:eastAsia="宋体"/>
                <w:b w:val="0"/>
                <w:color w:val="auto"/>
                <w:sz w:val="24"/>
                <w:highlight w:val="none"/>
              </w:rPr>
              <w:t>中标（成交）供应商的评审报价</w:t>
            </w:r>
            <w:r>
              <w:rPr>
                <w:rFonts w:hint="eastAsia" w:ascii="宋体" w:hAnsi="宋体" w:eastAsia="宋体"/>
                <w:bCs w:val="0"/>
                <w:color w:val="auto"/>
                <w:sz w:val="24"/>
                <w:highlight w:val="none"/>
              </w:rPr>
              <w:t>（适用最</w:t>
            </w:r>
            <w:r>
              <w:rPr>
                <w:rFonts w:hint="eastAsia" w:ascii="宋体" w:hAnsi="宋体" w:eastAsia="宋体"/>
                <w:bCs w:val="0"/>
                <w:color w:val="auto"/>
                <w:sz w:val="24"/>
                <w:highlight w:val="none"/>
                <w:lang w:val="en-US" w:eastAsia="zh-CN"/>
              </w:rPr>
              <w:t>高</w:t>
            </w:r>
            <w:r>
              <w:rPr>
                <w:rFonts w:hint="eastAsia" w:ascii="宋体" w:hAnsi="宋体" w:eastAsia="宋体"/>
                <w:bCs w:val="0"/>
                <w:color w:val="auto"/>
                <w:sz w:val="24"/>
                <w:highlight w:val="none"/>
              </w:rPr>
              <w:t>评标价法）</w:t>
            </w:r>
          </w:p>
        </w:tc>
      </w:tr>
      <w:tr w14:paraId="21C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67F39C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24</w:t>
            </w:r>
            <w:r>
              <w:rPr>
                <w:rFonts w:hint="default" w:ascii="宋体" w:hAnsi="宋体" w:eastAsia="宋体"/>
                <w:bCs/>
                <w:color w:val="auto"/>
                <w:kern w:val="2"/>
                <w:highlight w:val="none"/>
              </w:rPr>
              <w:t>.1</w:t>
            </w:r>
          </w:p>
        </w:tc>
        <w:tc>
          <w:tcPr>
            <w:tcW w:w="1174" w:type="pct"/>
            <w:vAlign w:val="center"/>
          </w:tcPr>
          <w:p w14:paraId="49D756FD">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6530F263">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bCs w:val="0"/>
                <w:color w:val="auto"/>
                <w:sz w:val="24"/>
                <w:szCs w:val="24"/>
                <w:highlight w:val="none"/>
              </w:rPr>
            </w:pPr>
            <w:r>
              <w:rPr>
                <w:rFonts w:hint="default" w:ascii="Segoe UI Symbol" w:hAnsi="Segoe UI Symbol" w:eastAsia="宋体" w:cs="Segoe UI Symbol"/>
                <w:b w:val="0"/>
                <w:bCs w:val="0"/>
                <w:color w:val="auto"/>
                <w:sz w:val="24"/>
                <w:szCs w:val="24"/>
                <w:highlight w:val="none"/>
              </w:rPr>
              <w:t>☑</w:t>
            </w:r>
            <w:r>
              <w:rPr>
                <w:rFonts w:hint="eastAsia" w:ascii="宋体" w:hAnsi="宋体" w:eastAsia="宋体"/>
                <w:b w:val="0"/>
                <w:bCs w:val="0"/>
                <w:color w:val="auto"/>
                <w:sz w:val="24"/>
                <w:szCs w:val="24"/>
                <w:highlight w:val="none"/>
              </w:rPr>
              <w:t xml:space="preserve">书面 </w:t>
            </w:r>
            <w:r>
              <w:rPr>
                <w:rFonts w:hint="default"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7F9F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76E10A">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25</w:t>
            </w:r>
            <w:r>
              <w:rPr>
                <w:rFonts w:hint="default" w:ascii="宋体" w:hAnsi="宋体" w:eastAsia="宋体"/>
                <w:bCs/>
                <w:color w:val="auto"/>
                <w:kern w:val="2"/>
                <w:highlight w:val="none"/>
              </w:rPr>
              <w:t>.1</w:t>
            </w:r>
          </w:p>
        </w:tc>
        <w:tc>
          <w:tcPr>
            <w:tcW w:w="1174" w:type="pct"/>
            <w:vAlign w:val="center"/>
          </w:tcPr>
          <w:p w14:paraId="66A40AC8">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E3E85CE">
            <w:pPr>
              <w:pStyle w:val="22"/>
              <w:keepNext w:val="0"/>
              <w:keepLines w:val="0"/>
              <w:suppressLineNumbers w:val="0"/>
              <w:spacing w:before="0" w:beforeAutospacing="0" w:after="0" w:afterAutospacing="0" w:line="400" w:lineRule="exact"/>
              <w:ind w:left="0" w:right="0" w:firstLine="45"/>
              <w:jc w:val="both"/>
              <w:rPr>
                <w:rFonts w:hint="eastAsia" w:asciiTheme="minorEastAsia" w:hAnsiTheme="minorEastAsia" w:eastAsiaTheme="minorEastAsia"/>
                <w:color w:val="auto"/>
                <w:kern w:val="2"/>
                <w:szCs w:val="24"/>
                <w:highlight w:val="none"/>
              </w:rPr>
            </w:pPr>
            <w:r>
              <w:rPr>
                <w:rFonts w:hint="eastAsia" w:ascii="宋体" w:hAnsi="宋体" w:eastAsia="宋体" w:cs="宋体"/>
                <w:color w:val="auto"/>
                <w:szCs w:val="24"/>
                <w:highlight w:val="none"/>
              </w:rPr>
              <w:t>投标人自行在滁州市第一人民医院官网查看</w:t>
            </w:r>
          </w:p>
        </w:tc>
      </w:tr>
      <w:tr w14:paraId="2669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382A5455">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26</w:t>
            </w:r>
            <w:r>
              <w:rPr>
                <w:rFonts w:hint="default" w:ascii="宋体" w:hAnsi="宋体" w:eastAsia="宋体"/>
                <w:bCs/>
                <w:color w:val="auto"/>
                <w:kern w:val="2"/>
                <w:highlight w:val="none"/>
              </w:rPr>
              <w:t>.1</w:t>
            </w:r>
          </w:p>
        </w:tc>
        <w:tc>
          <w:tcPr>
            <w:tcW w:w="1174" w:type="pct"/>
            <w:vAlign w:val="center"/>
          </w:tcPr>
          <w:p w14:paraId="4AF218E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4B2D99F">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C5371F8">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default" w:ascii="Segoe UI Symbol" w:hAnsi="Segoe UI Symbol" w:eastAsia="宋体" w:cs="Segoe UI Symbol"/>
                <w:bCs/>
                <w:color w:val="auto"/>
                <w:kern w:val="0"/>
                <w:sz w:val="24"/>
                <w:szCs w:val="28"/>
                <w:highlight w:val="none"/>
              </w:rPr>
              <w:t>☑</w:t>
            </w:r>
            <w:r>
              <w:rPr>
                <w:rFonts w:hint="eastAsia" w:ascii="宋体" w:hAnsi="宋体" w:eastAsia="宋体"/>
                <w:bCs/>
                <w:color w:val="auto"/>
                <w:kern w:val="0"/>
                <w:sz w:val="24"/>
                <w:szCs w:val="28"/>
                <w:highlight w:val="none"/>
              </w:rPr>
              <w:t>免收</w:t>
            </w:r>
          </w:p>
          <w:p w14:paraId="4847FC54">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default"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w:t>
            </w:r>
            <w:r>
              <w:rPr>
                <w:rFonts w:hint="default" w:ascii="宋体" w:hAnsi="宋体" w:eastAsia="宋体"/>
                <w:bCs/>
                <w:color w:val="auto"/>
                <w:kern w:val="0"/>
                <w:sz w:val="24"/>
                <w:szCs w:val="28"/>
                <w:highlight w:val="none"/>
                <w:u w:val="single"/>
              </w:rPr>
              <w:t xml:space="preserve"> </w:t>
            </w:r>
            <w:r>
              <w:rPr>
                <w:rFonts w:hint="default" w:ascii="宋体" w:hAnsi="宋体" w:eastAsia="宋体"/>
                <w:bCs/>
                <w:color w:val="auto"/>
                <w:kern w:val="0"/>
                <w:sz w:val="24"/>
                <w:szCs w:val="28"/>
                <w:highlight w:val="none"/>
              </w:rPr>
              <w:t>%</w:t>
            </w:r>
          </w:p>
          <w:p w14:paraId="0CA7F610">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22978B99">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2AD32082">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hint="default" w:ascii="宋体" w:hAnsi="宋体" w:eastAsia="宋体"/>
                <w:bCs/>
                <w:color w:val="auto"/>
                <w:kern w:val="0"/>
                <w:sz w:val="24"/>
                <w:szCs w:val="28"/>
                <w:highlight w:val="none"/>
              </w:rPr>
              <w:t>函</w:t>
            </w:r>
          </w:p>
          <w:p w14:paraId="0092F059">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 xml:space="preserve">              </w:t>
            </w:r>
          </w:p>
          <w:p w14:paraId="201B46FF">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     </w:t>
            </w:r>
          </w:p>
          <w:p w14:paraId="517F751C">
            <w:pPr>
              <w:keepNext w:val="0"/>
              <w:keepLines w:val="0"/>
              <w:suppressLineNumbers w:val="0"/>
              <w:spacing w:before="0" w:beforeAutospacing="0" w:after="0" w:afterAutospacing="0" w:line="400" w:lineRule="exact"/>
              <w:ind w:left="0" w:right="0" w:firstLine="45"/>
              <w:rPr>
                <w:rFonts w:hint="eastAsia" w:ascii="宋体" w:hAnsi="宋体" w:eastAsia="宋体"/>
                <w:color w:val="auto"/>
                <w:sz w:val="24"/>
                <w:szCs w:val="20"/>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szCs w:val="20"/>
                <w:highlight w:val="none"/>
              </w:rPr>
              <w:t>退还时间：</w:t>
            </w:r>
            <w:r>
              <w:rPr>
                <w:rFonts w:hint="eastAsia" w:ascii="宋体" w:hAnsi="宋体" w:eastAsia="宋体"/>
                <w:bCs/>
                <w:color w:val="auto"/>
                <w:kern w:val="0"/>
                <w:sz w:val="24"/>
                <w:szCs w:val="28"/>
                <w:highlight w:val="none"/>
                <w:u w:val="single"/>
              </w:rPr>
              <w:t xml:space="preserve">   /      </w:t>
            </w:r>
          </w:p>
          <w:p w14:paraId="21BC9BA9">
            <w:pPr>
              <w:keepNext w:val="0"/>
              <w:keepLines w:val="0"/>
              <w:suppressLineNumbers w:val="0"/>
              <w:spacing w:before="0" w:beforeAutospacing="0" w:after="0" w:afterAutospacing="0" w:line="400" w:lineRule="exact"/>
              <w:ind w:left="0" w:right="0" w:firstLine="45"/>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AC7484">
            <w:pPr>
              <w:keepNext w:val="0"/>
              <w:keepLines w:val="0"/>
              <w:suppressLineNumbers w:val="0"/>
              <w:spacing w:before="0" w:beforeAutospacing="0" w:after="0" w:afterAutospacing="0" w:line="400" w:lineRule="exact"/>
              <w:ind w:left="0" w:right="0" w:firstLine="45"/>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1FEC8CB">
            <w:pPr>
              <w:keepNext w:val="0"/>
              <w:keepLines w:val="0"/>
              <w:suppressLineNumbers w:val="0"/>
              <w:spacing w:before="0" w:beforeAutospacing="0" w:after="0" w:afterAutospacing="0" w:line="400" w:lineRule="exact"/>
              <w:ind w:left="0" w:right="0" w:firstLine="45"/>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14A8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435A43E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27</w:t>
            </w:r>
            <w:r>
              <w:rPr>
                <w:rFonts w:hint="default" w:ascii="宋体" w:hAnsi="宋体" w:eastAsia="宋体"/>
                <w:bCs/>
                <w:color w:val="auto"/>
                <w:kern w:val="2"/>
                <w:highlight w:val="none"/>
              </w:rPr>
              <w:t>.1</w:t>
            </w:r>
          </w:p>
        </w:tc>
        <w:tc>
          <w:tcPr>
            <w:tcW w:w="1174" w:type="pct"/>
            <w:vAlign w:val="center"/>
          </w:tcPr>
          <w:p w14:paraId="78EB4FAD">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765C957B">
            <w:pPr>
              <w:pStyle w:val="22"/>
              <w:keepNext w:val="0"/>
              <w:keepLines w:val="0"/>
              <w:widowControl/>
              <w:suppressLineNumbers w:val="0"/>
              <w:spacing w:before="0" w:beforeAutospacing="0" w:after="0" w:afterAutospacing="0" w:line="400" w:lineRule="exact"/>
              <w:ind w:left="0" w:right="0" w:firstLine="45"/>
              <w:rPr>
                <w:rFonts w:hint="eastAsia"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w:t>
            </w:r>
            <w:r>
              <w:rPr>
                <w:rFonts w:hint="eastAsia" w:ascii="宋体" w:hAnsi="宋体" w:eastAsia="宋体" w:cs="宋体"/>
                <w:color w:val="auto"/>
                <w:szCs w:val="24"/>
                <w:highlight w:val="none"/>
                <w:lang w:val="en-US" w:eastAsia="zh-CN"/>
              </w:rPr>
              <w:t>20</w:t>
            </w:r>
            <w:r>
              <w:rPr>
                <w:rFonts w:hint="eastAsia" w:ascii="宋体" w:hAnsi="宋体" w:eastAsia="宋体" w:cs="宋体"/>
                <w:color w:val="auto"/>
                <w:szCs w:val="24"/>
                <w:highlight w:val="none"/>
              </w:rPr>
              <w:t>个工作日内签订合同。</w:t>
            </w:r>
          </w:p>
          <w:p w14:paraId="58DF96C7">
            <w:pPr>
              <w:pStyle w:val="22"/>
              <w:keepNext w:val="0"/>
              <w:keepLines w:val="0"/>
              <w:widowControl/>
              <w:suppressLineNumbers w:val="0"/>
              <w:spacing w:before="0" w:beforeAutospacing="0" w:after="0" w:afterAutospacing="0" w:line="400" w:lineRule="exact"/>
              <w:ind w:left="0" w:right="0" w:firstLine="45"/>
              <w:rPr>
                <w:rFonts w:hint="eastAsia"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hint="default" w:ascii="宋体" w:hAnsi="宋体" w:eastAsia="宋体" w:cs="宋体"/>
                <w:color w:val="auto"/>
                <w:szCs w:val="24"/>
                <w:highlight w:val="none"/>
              </w:rPr>
              <w:t>不得擅自变更合同。</w:t>
            </w:r>
          </w:p>
        </w:tc>
      </w:tr>
      <w:tr w14:paraId="62E4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581" w:type="pct"/>
            <w:tcBorders>
              <w:bottom w:val="single" w:color="auto" w:sz="4" w:space="0"/>
            </w:tcBorders>
            <w:vAlign w:val="center"/>
          </w:tcPr>
          <w:p w14:paraId="15450AEB">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28</w:t>
            </w:r>
            <w:r>
              <w:rPr>
                <w:rFonts w:hint="default" w:ascii="宋体" w:hAnsi="宋体" w:eastAsia="宋体"/>
                <w:bCs/>
                <w:color w:val="auto"/>
                <w:kern w:val="2"/>
                <w:highlight w:val="none"/>
              </w:rPr>
              <w:t>.1</w:t>
            </w:r>
          </w:p>
        </w:tc>
        <w:tc>
          <w:tcPr>
            <w:tcW w:w="1174" w:type="pct"/>
            <w:tcBorders>
              <w:bottom w:val="single" w:color="auto" w:sz="4" w:space="0"/>
            </w:tcBorders>
            <w:vAlign w:val="center"/>
          </w:tcPr>
          <w:p w14:paraId="14C09F95">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tcBorders>
              <w:bottom w:val="single" w:color="auto" w:sz="4" w:space="0"/>
            </w:tcBorders>
            <w:vAlign w:val="center"/>
          </w:tcPr>
          <w:p w14:paraId="3CB6D22C">
            <w:pPr>
              <w:keepNext w:val="0"/>
              <w:keepLines w:val="0"/>
              <w:suppressLineNumbers w:val="0"/>
              <w:spacing w:before="0" w:beforeAutospacing="0" w:after="0" w:afterAutospacing="0" w:line="400" w:lineRule="exact"/>
              <w:ind w:left="0" w:right="0" w:firstLine="45"/>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hint="default" w:ascii="宋体" w:hAnsi="宋体" w:eastAsia="宋体"/>
                <w:bCs/>
                <w:color w:val="auto"/>
                <w:kern w:val="0"/>
                <w:sz w:val="24"/>
                <w:szCs w:val="28"/>
                <w:highlight w:val="none"/>
              </w:rPr>
              <w:t>收费对象</w:t>
            </w:r>
            <w:r>
              <w:rPr>
                <w:rFonts w:hint="default"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hint="default"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hint="default" w:ascii="宋体" w:hAnsi="宋体" w:eastAsia="宋体" w:cs="宋体"/>
                <w:color w:val="auto"/>
                <w:spacing w:val="14"/>
                <w:sz w:val="24"/>
                <w:szCs w:val="24"/>
                <w:highlight w:val="none"/>
              </w:rPr>
              <w:t>中标人</w:t>
            </w:r>
          </w:p>
          <w:p w14:paraId="4CA9C0EB">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hint="default"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现金或银行转账</w:t>
            </w:r>
          </w:p>
          <w:p w14:paraId="275AD688">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bCs w:val="0"/>
                <w:color w:val="auto"/>
                <w:sz w:val="24"/>
                <w:highlight w:val="none"/>
              </w:rPr>
              <w:t>（3）</w:t>
            </w:r>
            <w:r>
              <w:rPr>
                <w:rFonts w:hint="default" w:ascii="宋体" w:hAnsi="宋体" w:eastAsia="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bidi="ar-SA"/>
              </w:rPr>
              <w:t>750元（评审费另计共3次，其中第一次开标评审费1000元，第一次开标评审费1000元，第三次开标评审费以实际发生为准）</w:t>
            </w:r>
          </w:p>
        </w:tc>
      </w:tr>
      <w:tr w14:paraId="4B19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left w:val="single" w:color="auto" w:sz="4" w:space="0"/>
              <w:bottom w:val="single" w:color="auto" w:sz="4" w:space="0"/>
            </w:tcBorders>
            <w:vAlign w:val="center"/>
          </w:tcPr>
          <w:p w14:paraId="03690C8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31</w:t>
            </w:r>
            <w:r>
              <w:rPr>
                <w:rFonts w:hint="default"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tcBorders>
              <w:top w:val="single" w:color="auto" w:sz="4" w:space="0"/>
              <w:bottom w:val="single" w:color="auto" w:sz="4" w:space="0"/>
            </w:tcBorders>
            <w:vAlign w:val="center"/>
          </w:tcPr>
          <w:p w14:paraId="7011C00C">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tcBorders>
              <w:top w:val="single" w:color="auto" w:sz="4" w:space="0"/>
              <w:bottom w:val="single" w:color="auto" w:sz="4" w:space="0"/>
              <w:right w:val="single" w:color="auto" w:sz="4" w:space="0"/>
            </w:tcBorders>
            <w:vAlign w:val="center"/>
          </w:tcPr>
          <w:p w14:paraId="740190F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书面形式或通过电子邮件递交。如投标人对招标文件有质疑，可以依据中华人民共和国财政部令第 94 号《政府采购质疑和投诉办法》规定，以书面形式向采购人、采购代理机构提出质疑，也可以通过电子邮件（</w:t>
            </w:r>
            <w:r>
              <w:rPr>
                <w:rFonts w:hint="eastAsia" w:ascii="宋体" w:hAnsi="宋体" w:eastAsia="宋体"/>
                <w:b w:val="0"/>
                <w:color w:val="auto"/>
                <w:sz w:val="24"/>
                <w:highlight w:val="none"/>
                <w:u w:val="single"/>
                <w:lang w:val="en-US" w:eastAsia="zh-CN"/>
              </w:rPr>
              <w:t>1225240102</w:t>
            </w:r>
            <w:r>
              <w:rPr>
                <w:rFonts w:hint="eastAsia" w:ascii="宋体" w:hAnsi="宋体" w:eastAsia="宋体"/>
                <w:b w:val="0"/>
                <w:color w:val="auto"/>
                <w:sz w:val="24"/>
                <w:highlight w:val="none"/>
                <w:u w:val="single"/>
              </w:rPr>
              <w:t xml:space="preserve">@qq.com）递交质疑。 </w:t>
            </w:r>
          </w:p>
          <w:p w14:paraId="7B23DA80">
            <w:pPr>
              <w:keepNext w:val="0"/>
              <w:keepLines w:val="0"/>
              <w:suppressLineNumbers w:val="0"/>
              <w:spacing w:before="0" w:beforeAutospacing="0" w:after="0" w:afterAutospacing="0" w:line="400" w:lineRule="exact"/>
              <w:ind w:left="0" w:right="0" w:firstLine="45"/>
              <w:rPr>
                <w:rFonts w:hint="eastAsia" w:ascii="仿宋" w:hAnsi="仿宋" w:eastAsia="仿宋" w:cs="仿宋"/>
                <w:color w:val="auto"/>
                <w:sz w:val="28"/>
                <w:szCs w:val="28"/>
                <w:highlight w:val="none"/>
              </w:rPr>
            </w:pPr>
            <w:r>
              <w:rPr>
                <w:rFonts w:hint="eastAsia" w:ascii="宋体" w:hAnsi="宋体" w:eastAsia="宋体"/>
                <w:color w:val="auto"/>
                <w:sz w:val="24"/>
                <w:szCs w:val="20"/>
                <w:highlight w:val="none"/>
              </w:rPr>
              <w:t>接收部门：</w:t>
            </w:r>
            <w:r>
              <w:rPr>
                <w:rFonts w:hint="eastAsia" w:ascii="宋体" w:hAnsi="宋体" w:eastAsia="宋体"/>
                <w:bCs/>
                <w:color w:val="auto"/>
                <w:kern w:val="0"/>
                <w:sz w:val="24"/>
                <w:szCs w:val="28"/>
                <w:highlight w:val="none"/>
                <w:u w:val="single"/>
              </w:rPr>
              <w:t>滁州市第一人民医院、安徽百士德工程咨询有限公司</w:t>
            </w:r>
          </w:p>
          <w:p w14:paraId="2982614E">
            <w:pPr>
              <w:keepNext w:val="0"/>
              <w:keepLines w:val="0"/>
              <w:suppressLineNumbers w:val="0"/>
              <w:spacing w:before="0" w:beforeAutospacing="0" w:after="0" w:afterAutospacing="0" w:line="400" w:lineRule="exact"/>
              <w:ind w:left="0" w:right="0" w:firstLine="45"/>
              <w:rPr>
                <w:rFonts w:hint="eastAsia" w:ascii="宋体" w:hAnsi="宋体" w:eastAsia="宋体"/>
                <w:color w:val="auto"/>
                <w:sz w:val="24"/>
                <w:szCs w:val="18"/>
                <w:highlight w:val="none"/>
              </w:rPr>
            </w:pPr>
            <w:r>
              <w:rPr>
                <w:rFonts w:hint="default" w:ascii="宋体" w:hAnsi="宋体" w:eastAsia="宋体"/>
                <w:color w:val="auto"/>
                <w:sz w:val="24"/>
                <w:szCs w:val="20"/>
                <w:highlight w:val="none"/>
              </w:rPr>
              <w:t>联系电话：</w:t>
            </w:r>
            <w:r>
              <w:rPr>
                <w:rFonts w:hint="eastAsia" w:ascii="宋体" w:hAnsi="宋体" w:eastAsia="宋体"/>
                <w:color w:val="auto"/>
                <w:sz w:val="24"/>
                <w:szCs w:val="24"/>
                <w:highlight w:val="none"/>
                <w:u w:val="single"/>
                <w:lang w:bidi="ar"/>
              </w:rPr>
              <w:t>0550-3526032</w:t>
            </w:r>
            <w:r>
              <w:rPr>
                <w:rFonts w:hint="eastAsia" w:ascii="宋体" w:hAnsi="宋体" w:eastAsia="宋体"/>
                <w:bCs/>
                <w:color w:val="auto"/>
                <w:kern w:val="0"/>
                <w:sz w:val="24"/>
                <w:szCs w:val="28"/>
                <w:highlight w:val="none"/>
                <w:u w:val="single"/>
              </w:rPr>
              <w:t>、</w:t>
            </w:r>
            <w:r>
              <w:rPr>
                <w:rFonts w:hint="eastAsia" w:ascii="宋体" w:hAnsi="宋体" w:eastAsia="宋体"/>
                <w:color w:val="auto"/>
                <w:sz w:val="24"/>
                <w:szCs w:val="24"/>
                <w:highlight w:val="none"/>
                <w:u w:val="single"/>
                <w:lang w:bidi="ar"/>
              </w:rPr>
              <w:t>0550-3011399</w:t>
            </w:r>
          </w:p>
          <w:p w14:paraId="09DBAA1B">
            <w:pPr>
              <w:keepNext w:val="0"/>
              <w:keepLines w:val="0"/>
              <w:suppressLineNumbers w:val="0"/>
              <w:spacing w:before="0" w:beforeAutospacing="0" w:after="0" w:afterAutospacing="0" w:line="400" w:lineRule="exact"/>
              <w:ind w:left="0" w:right="0" w:firstLine="45"/>
              <w:rPr>
                <w:rFonts w:hint="eastAsia" w:ascii="宋体" w:hAnsi="宋体" w:eastAsia="宋体"/>
                <w:color w:val="auto"/>
                <w:sz w:val="24"/>
                <w:szCs w:val="20"/>
                <w:highlight w:val="none"/>
              </w:rPr>
            </w:pPr>
            <w:r>
              <w:rPr>
                <w:rFonts w:hint="eastAsia" w:ascii="宋体" w:hAnsi="宋体" w:eastAsia="宋体"/>
                <w:color w:val="auto"/>
                <w:sz w:val="24"/>
                <w:szCs w:val="20"/>
                <w:highlight w:val="none"/>
              </w:rPr>
              <w:t>通讯地址：</w:t>
            </w:r>
            <w:r>
              <w:rPr>
                <w:rFonts w:hint="eastAsia" w:ascii="宋体" w:hAnsi="宋体" w:eastAsia="宋体"/>
                <w:color w:val="auto"/>
                <w:sz w:val="24"/>
                <w:szCs w:val="24"/>
                <w:highlight w:val="none"/>
                <w:u w:val="single"/>
                <w:lang w:bidi="ar"/>
              </w:rPr>
              <w:t>滁州市醉翁西路369号</w:t>
            </w:r>
            <w:r>
              <w:rPr>
                <w:rFonts w:hint="eastAsia" w:ascii="宋体" w:hAnsi="宋体" w:eastAsia="宋体"/>
                <w:bCs/>
                <w:color w:val="auto"/>
                <w:kern w:val="0"/>
                <w:sz w:val="24"/>
                <w:szCs w:val="28"/>
                <w:highlight w:val="none"/>
                <w:u w:val="single"/>
              </w:rPr>
              <w:t xml:space="preserve">、滁州市会峰西路72-11号 </w:t>
            </w:r>
          </w:p>
        </w:tc>
      </w:tr>
      <w:tr w14:paraId="00B9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tcBorders>
            <w:vAlign w:val="center"/>
          </w:tcPr>
          <w:p w14:paraId="2E4AAAA1">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tcBorders>
              <w:top w:val="single" w:color="auto" w:sz="4" w:space="0"/>
            </w:tcBorders>
            <w:vAlign w:val="center"/>
          </w:tcPr>
          <w:p w14:paraId="0180B8CF">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tcBorders>
              <w:top w:val="single" w:color="auto" w:sz="4" w:space="0"/>
            </w:tcBorders>
            <w:vAlign w:val="center"/>
          </w:tcPr>
          <w:p w14:paraId="423E9A44">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1.解释权：</w:t>
            </w:r>
          </w:p>
          <w:p w14:paraId="76B0FDF7">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hint="default" w:asciiTheme="minorEastAsia" w:hAnsiTheme="minorEastAsia" w:eastAsiaTheme="minorEastAsia"/>
                <w:bCs/>
                <w:color w:val="auto"/>
                <w:sz w:val="24"/>
                <w:szCs w:val="24"/>
                <w:highlight w:val="none"/>
              </w:rPr>
              <w:t>构成本招标文件的各个组成文件应互为解释，互为说明；</w:t>
            </w:r>
          </w:p>
          <w:p w14:paraId="7F0BDB2C">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hint="default" w:asciiTheme="minorEastAsia" w:hAnsiTheme="minorEastAsia" w:eastAsiaTheme="minorEastAsia"/>
                <w:bCs/>
                <w:color w:val="auto"/>
                <w:sz w:val="24"/>
                <w:szCs w:val="24"/>
                <w:highlight w:val="none"/>
              </w:rPr>
              <w:t>同一组成文件中就同一事项的规定或约定不一致的，以编排顺序在后者为准；</w:t>
            </w:r>
          </w:p>
          <w:p w14:paraId="04E41D4D">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hint="default"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E44BF41">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hint="default"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hint="default"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hint="default"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hint="default" w:asciiTheme="minorEastAsia" w:hAnsiTheme="minorEastAsia" w:eastAsiaTheme="minorEastAsia"/>
                <w:bCs/>
                <w:color w:val="auto"/>
                <w:sz w:val="24"/>
                <w:szCs w:val="24"/>
                <w:highlight w:val="none"/>
              </w:rPr>
              <w:t>、投标文件格式的先后顺序解释；</w:t>
            </w:r>
          </w:p>
          <w:p w14:paraId="6E6A07DD">
            <w:pPr>
              <w:pStyle w:val="44"/>
              <w:keepNext w:val="0"/>
              <w:keepLines w:val="0"/>
              <w:widowControl w:val="0"/>
              <w:suppressLineNumbers w:val="0"/>
              <w:spacing w:before="0" w:beforeAutospacing="0" w:after="0" w:afterAutospacing="0" w:line="400" w:lineRule="exact"/>
              <w:ind w:left="0" w:right="0" w:firstLine="45"/>
              <w:jc w:val="both"/>
              <w:rPr>
                <w:rFonts w:hint="eastAsia"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hint="default"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hint="default" w:asciiTheme="minorEastAsia" w:hAnsiTheme="minorEastAsia" w:eastAsiaTheme="minorEastAsia"/>
                <w:b w:val="0"/>
                <w:color w:val="auto"/>
                <w:kern w:val="2"/>
                <w:sz w:val="24"/>
                <w:szCs w:val="24"/>
                <w:highlight w:val="none"/>
              </w:rPr>
              <w:t>人负责解释。</w:t>
            </w:r>
          </w:p>
          <w:p w14:paraId="74BC8EA9">
            <w:pPr>
              <w:pStyle w:val="44"/>
              <w:keepNext w:val="0"/>
              <w:keepLines w:val="0"/>
              <w:widowControl w:val="0"/>
              <w:suppressLineNumbers w:val="0"/>
              <w:spacing w:before="0" w:beforeAutospacing="0" w:after="0" w:afterAutospacing="0" w:line="400" w:lineRule="exact"/>
              <w:ind w:left="0" w:right="0" w:firstLine="45"/>
              <w:jc w:val="both"/>
              <w:rPr>
                <w:rFonts w:hint="eastAsia"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Cs w:val="0"/>
                <w:color w:val="auto"/>
                <w:kern w:val="2"/>
                <w:sz w:val="24"/>
                <w:szCs w:val="24"/>
                <w:highlight w:val="none"/>
              </w:rPr>
              <w:t>（6）投标单位中标后须递交与纸质投标文件完全一致的电子版投标文件一份，一并递交给代理机构。</w:t>
            </w:r>
          </w:p>
        </w:tc>
      </w:tr>
    </w:tbl>
    <w:p w14:paraId="2E83419A">
      <w:pPr>
        <w:spacing w:line="360" w:lineRule="auto"/>
        <w:jc w:val="center"/>
        <w:outlineLvl w:val="1"/>
        <w:rPr>
          <w:rFonts w:hint="eastAsia" w:asciiTheme="minorEastAsia" w:hAnsiTheme="minorEastAsia" w:eastAsiaTheme="minorEastAsia"/>
          <w:b/>
          <w:color w:val="auto"/>
          <w:sz w:val="24"/>
          <w:highlight w:val="none"/>
        </w:rPr>
      </w:pPr>
      <w:bookmarkStart w:id="38" w:name="_Toc14880"/>
      <w:bookmarkStart w:id="39" w:name="_Toc10953"/>
      <w:bookmarkStart w:id="40"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38"/>
      <w:bookmarkEnd w:id="39"/>
      <w:bookmarkEnd w:id="40"/>
    </w:p>
    <w:p w14:paraId="7C78863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36C1BA9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411FAE6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7773BD0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2E27942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3F6C6C1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3D7AD3B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2C180F6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3212F38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C153C1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75AFF59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7A6E29A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6F41C11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489A6BB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672276B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3031F9C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08489F04">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5090DC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276192E3">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654CC5E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4D51655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46AAAC4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CA0E80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63F33202">
      <w:pPr>
        <w:spacing w:line="360" w:lineRule="auto"/>
        <w:ind w:firstLine="435"/>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3D2572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376690F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5.1招标文件包括下列内容：</w:t>
      </w:r>
    </w:p>
    <w:p w14:paraId="74D44219">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DF8A847">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175C748D">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50F00702">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2349C400">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F0F988">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AA1C5D3">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2F0D4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071E91D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ACE1F4E">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1093B54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0D9E124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042FEB1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w:t>
      </w:r>
      <w:r>
        <w:rPr>
          <w:rFonts w:hint="eastAsia" w:asciiTheme="minorEastAsia" w:hAnsiTheme="minorEastAsia" w:eastAsiaTheme="minorEastAsia"/>
          <w:color w:val="auto"/>
          <w:sz w:val="24"/>
          <w:highlight w:val="none"/>
        </w:rPr>
        <w:t>可</w:t>
      </w:r>
      <w:r>
        <w:rPr>
          <w:rFonts w:asciiTheme="minorEastAsia" w:hAnsiTheme="minorEastAsia" w:eastAsiaTheme="minorEastAsia"/>
          <w:color w:val="auto"/>
          <w:sz w:val="24"/>
          <w:highlight w:val="none"/>
        </w:rPr>
        <w:t>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w:t>
      </w:r>
      <w:r>
        <w:rPr>
          <w:rFonts w:hint="eastAsia" w:ascii="宋体" w:hAnsi="宋体" w:eastAsia="宋体" w:cs="宋体"/>
          <w:color w:val="auto"/>
          <w:sz w:val="24"/>
          <w:szCs w:val="24"/>
          <w:highlight w:val="none"/>
        </w:rPr>
        <w:t>电子邮件形式向采购代理机构（采购代理机构邮箱：</w:t>
      </w:r>
      <w:r>
        <w:rPr>
          <w:rFonts w:hint="eastAsia" w:ascii="宋体" w:hAnsi="宋体" w:eastAsia="宋体" w:cs="宋体"/>
          <w:color w:val="auto"/>
          <w:sz w:val="24"/>
          <w:szCs w:val="24"/>
          <w:highlight w:val="none"/>
          <w:lang w:eastAsia="zh-CN"/>
        </w:rPr>
        <w:t>1225240102</w:t>
      </w:r>
      <w:r>
        <w:rPr>
          <w:rFonts w:hint="eastAsia" w:ascii="宋体" w:hAnsi="宋体" w:eastAsia="宋体" w:cs="宋体"/>
          <w:color w:val="auto"/>
          <w:sz w:val="24"/>
          <w:szCs w:val="24"/>
          <w:highlight w:val="none"/>
        </w:rPr>
        <w:t>@qq.com）提交疑问</w:t>
      </w:r>
      <w:r>
        <w:rPr>
          <w:rFonts w:asciiTheme="minorEastAsia" w:hAnsiTheme="minorEastAsia" w:eastAsiaTheme="minorEastAsia"/>
          <w:color w:val="auto"/>
          <w:sz w:val="24"/>
          <w:highlight w:val="none"/>
        </w:rPr>
        <w:t>。</w:t>
      </w:r>
    </w:p>
    <w:p w14:paraId="3D5A74C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在滁州市第一人民医院网以发布更正公告的方式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23F8CB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6B069482">
      <w:pPr>
        <w:spacing w:line="360" w:lineRule="auto"/>
        <w:ind w:firstLine="435"/>
        <w:rPr>
          <w:rFonts w:hint="eastAsia"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r>
        <w:rPr>
          <w:rFonts w:hint="eastAsia" w:ascii="宋体" w:hAnsi="宋体" w:eastAsia="宋体"/>
          <w:color w:val="auto"/>
          <w:sz w:val="24"/>
          <w:highlight w:val="none"/>
        </w:rPr>
        <w:t>。</w:t>
      </w:r>
    </w:p>
    <w:p w14:paraId="767C305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586AC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7C052C0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D7723A4">
      <w:pPr>
        <w:spacing w:line="360" w:lineRule="auto"/>
        <w:ind w:firstLine="435"/>
        <w:rPr>
          <w:rFonts w:hint="eastAsia" w:asciiTheme="minorEastAsia" w:hAnsiTheme="minorEastAsia" w:eastAsiaTheme="minorEastAsia"/>
          <w:color w:val="auto"/>
          <w:sz w:val="24"/>
          <w:highlight w:val="none"/>
        </w:rPr>
      </w:pPr>
      <w:bookmarkStart w:id="41"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41"/>
    <w:p w14:paraId="0E9F4AC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004AC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1E56CBC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2D45B6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7C3242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42" w:name="_Hlk11703583"/>
      <w:r>
        <w:rPr>
          <w:rFonts w:hint="eastAsia" w:asciiTheme="minorEastAsia" w:hAnsiTheme="minorEastAsia" w:eastAsiaTheme="minorEastAsia"/>
          <w:color w:val="auto"/>
          <w:sz w:val="24"/>
          <w:highlight w:val="none"/>
        </w:rPr>
        <w:t>等。</w:t>
      </w:r>
    </w:p>
    <w:bookmarkEnd w:id="42"/>
    <w:p w14:paraId="044FE78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8722FB1">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1F9C40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85A359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w:t>
      </w:r>
      <w:r>
        <w:rPr>
          <w:rFonts w:hint="eastAsia" w:asciiTheme="minorEastAsia" w:hAnsiTheme="minorEastAsia" w:eastAsiaTheme="minorEastAsia"/>
          <w:color w:val="auto"/>
          <w:sz w:val="24"/>
          <w:highlight w:val="none"/>
          <w:lang w:val="en-US" w:eastAsia="zh-CN"/>
        </w:rPr>
        <w:t>低于</w:t>
      </w:r>
      <w:r>
        <w:rPr>
          <w:rFonts w:asciiTheme="minorEastAsia" w:hAnsiTheme="minorEastAsia" w:eastAsiaTheme="minorEastAsia"/>
          <w:color w:val="auto"/>
          <w:sz w:val="24"/>
          <w:highlight w:val="none"/>
        </w:rPr>
        <w:t>招标文件规定的预算金额或者分项、分包最</w:t>
      </w:r>
      <w:r>
        <w:rPr>
          <w:rFonts w:hint="eastAsia" w:asciiTheme="minorEastAsia" w:hAnsiTheme="minorEastAsia" w:eastAsiaTheme="minorEastAsia"/>
          <w:color w:val="auto"/>
          <w:sz w:val="24"/>
          <w:highlight w:val="none"/>
          <w:lang w:val="en-US" w:eastAsia="zh-CN"/>
        </w:rPr>
        <w:t>低</w:t>
      </w:r>
      <w:r>
        <w:rPr>
          <w:rFonts w:asciiTheme="minorEastAsia" w:hAnsiTheme="minorEastAsia" w:eastAsiaTheme="minorEastAsia"/>
          <w:color w:val="auto"/>
          <w:sz w:val="24"/>
          <w:highlight w:val="none"/>
        </w:rPr>
        <w:t>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47C5AC6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572E1A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4评标委员会认为投标人的报价明显</w:t>
      </w:r>
      <w:r>
        <w:rPr>
          <w:rFonts w:hint="eastAsia" w:asciiTheme="minorEastAsia" w:hAnsiTheme="minorEastAsia" w:eastAsiaTheme="minorEastAsia"/>
          <w:color w:val="auto"/>
          <w:sz w:val="24"/>
          <w:highlight w:val="none"/>
          <w:lang w:val="en-US" w:eastAsia="zh-CN"/>
        </w:rPr>
        <w:t>高于</w:t>
      </w:r>
      <w:r>
        <w:rPr>
          <w:rFonts w:hint="eastAsia" w:asciiTheme="minorEastAsia" w:hAnsiTheme="minorEastAsia" w:eastAsiaTheme="minorEastAsia"/>
          <w:color w:val="auto"/>
          <w:sz w:val="24"/>
          <w:highlight w:val="none"/>
        </w:rPr>
        <w:t>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必要时提交相关证明材料；投标人不能证明其报价合理性的，其投标将被认定为投标无效</w:t>
      </w:r>
      <w:r>
        <w:rPr>
          <w:rFonts w:hint="eastAsia" w:asciiTheme="minorEastAsia" w:hAnsiTheme="minorEastAsia" w:eastAsiaTheme="minorEastAsia"/>
          <w:color w:val="auto"/>
          <w:sz w:val="24"/>
          <w:highlight w:val="none"/>
        </w:rPr>
        <w:t>。</w:t>
      </w:r>
    </w:p>
    <w:p w14:paraId="23468F8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4FD87DC">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6D51DDE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78BA1492">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5B40D6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773766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6391E731">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F5F2F38">
      <w:pPr>
        <w:spacing w:line="360" w:lineRule="auto"/>
        <w:ind w:firstLine="437"/>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投标文件的密封、递交、修改与撤回</w:t>
      </w:r>
    </w:p>
    <w:p w14:paraId="31A3712E">
      <w:pPr>
        <w:spacing w:line="360" w:lineRule="auto"/>
        <w:ind w:firstLine="435"/>
        <w:rPr>
          <w:rFonts w:hint="eastAsia" w:ascii="宋体" w:hAnsi="宋体" w:cs="宋体"/>
          <w:color w:val="auto"/>
          <w:szCs w:val="21"/>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2.1投标文件的份数和签署</w:t>
      </w:r>
    </w:p>
    <w:p w14:paraId="6639B2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（1）投标文件份数：一式三份，正本一份，副本二份。</w:t>
      </w:r>
    </w:p>
    <w:p w14:paraId="4E885CD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（1）投标文件的正本和副本均需打印或使用不褪色的蓝、黑墨水笔书写，字迹应清晰易于辩认，并应在投标文件封面的右上角清楚地注明“正本”或“副本”。正本和副本如有不一致之处，以正本为准。</w:t>
      </w:r>
    </w:p>
    <w:p w14:paraId="605E23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投标文件的密封和标记</w:t>
      </w:r>
    </w:p>
    <w:p w14:paraId="16935A0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（1）供应商应当将投标文件正本、副本密封在一个档案袋内。</w:t>
      </w:r>
    </w:p>
    <w:p w14:paraId="34902D9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12.3投标文件的提交</w:t>
      </w:r>
    </w:p>
    <w:p w14:paraId="1A3245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（1）供应商应在供应商须知前附表规定的提交截止时间前递交投标文件。</w:t>
      </w:r>
    </w:p>
    <w:p w14:paraId="15AA208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（2）供应商提交投标文件的地点：见供应商须知前附表。</w:t>
      </w:r>
    </w:p>
    <w:p w14:paraId="3AADBB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（3）除供应商须知前附表另有规定外，供应商所递交的投标文件不予退还。</w:t>
      </w:r>
    </w:p>
    <w:p w14:paraId="35F442B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（4）逾期送达的或者未送达指定地点的投标文件，采购人不予受理。</w:t>
      </w:r>
    </w:p>
    <w:p w14:paraId="76AF30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12.4投标文件的补充、修改与撤回</w:t>
      </w:r>
    </w:p>
    <w:p w14:paraId="39E9706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（1）供应商在本章规定的投标文件投标截止时间前，供应商可以修改或撤回已递交的投标文件，但应以书面形式通知采购人。</w:t>
      </w:r>
    </w:p>
    <w:p w14:paraId="4B89BFB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（2）供应商修改或撤回已递交投标文件的书面通知应按照本章的要求签字或盖章。</w:t>
      </w:r>
    </w:p>
    <w:p w14:paraId="7E8C8DF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（3）供应商撤回投标文件的，采购人自收到供应商书面撤回通知之日起5日内退还已收取的投标保证金。</w:t>
      </w:r>
    </w:p>
    <w:p w14:paraId="712F4FA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（4）修改的内容为投标文件的组成部分。</w:t>
      </w:r>
    </w:p>
    <w:p w14:paraId="3F100E3D">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5FF202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应</w:t>
      </w:r>
      <w:r>
        <w:rPr>
          <w:rFonts w:hint="eastAsia" w:ascii="宋体" w:hAnsi="宋体" w:eastAsia="宋体" w:cs="宋体"/>
          <w:color w:val="auto"/>
          <w:sz w:val="24"/>
          <w:szCs w:val="24"/>
          <w:highlight w:val="none"/>
        </w:rPr>
        <w:t>对</w:t>
      </w:r>
      <w:r>
        <w:rPr>
          <w:rFonts w:ascii="宋体" w:hAnsi="宋体" w:eastAsia="宋体" w:cs="宋体"/>
          <w:color w:val="auto"/>
          <w:sz w:val="24"/>
          <w:szCs w:val="24"/>
          <w:highlight w:val="none"/>
        </w:rPr>
        <w:t>各投标人</w:t>
      </w:r>
      <w:r>
        <w:rPr>
          <w:rFonts w:hint="eastAsia" w:ascii="宋体" w:hAnsi="宋体" w:eastAsia="宋体" w:cs="宋体"/>
          <w:color w:val="auto"/>
          <w:sz w:val="24"/>
          <w:szCs w:val="24"/>
          <w:highlight w:val="none"/>
        </w:rPr>
        <w:t>的</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密封情况进行检查</w:t>
      </w:r>
      <w:r>
        <w:rPr>
          <w:rFonts w:asciiTheme="minorEastAsia" w:hAnsiTheme="minorEastAsia" w:eastAsiaTheme="minorEastAsia"/>
          <w:color w:val="auto"/>
          <w:sz w:val="24"/>
          <w:highlight w:val="none"/>
        </w:rPr>
        <w:t>。</w:t>
      </w:r>
    </w:p>
    <w:p w14:paraId="0780C0B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716E432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13.3采购人或采购代理机构将对开标过程进行记录，并存档备查。</w:t>
      </w:r>
    </w:p>
    <w:p w14:paraId="2E136073">
      <w:pPr>
        <w:spacing w:line="360" w:lineRule="auto"/>
        <w:ind w:firstLine="435"/>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3867ECA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5ED8F9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5AA690E">
      <w:pPr>
        <w:spacing w:line="360" w:lineRule="auto"/>
        <w:ind w:firstLine="435"/>
        <w:rPr>
          <w:rFonts w:hint="eastAsia" w:ascii="宋体" w:hAnsi="宋体" w:eastAsia="宋体" w:cs="宋体"/>
          <w:color w:val="auto"/>
          <w:sz w:val="24"/>
          <w:szCs w:val="24"/>
          <w:highlight w:val="none"/>
        </w:rPr>
      </w:pPr>
      <w:bookmarkStart w:id="43" w:name="_Hlk24663244"/>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bookmarkEnd w:id="43"/>
    <w:p w14:paraId="758CDF5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861726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0D6F039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2投标文件的澄清</w:t>
      </w:r>
    </w:p>
    <w:p w14:paraId="76E9320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w:t>
      </w:r>
      <w:r>
        <w:rPr>
          <w:rFonts w:hint="eastAsia" w:ascii="宋体" w:hAnsi="宋体" w:eastAsia="宋体"/>
          <w:color w:val="auto"/>
          <w:sz w:val="24"/>
          <w:highlight w:val="none"/>
          <w:lang w:val="en-US" w:eastAsia="zh-CN"/>
        </w:rPr>
        <w:t>高于</w:t>
      </w:r>
      <w:r>
        <w:rPr>
          <w:rFonts w:ascii="宋体" w:hAnsi="宋体" w:eastAsia="宋体"/>
          <w:color w:val="auto"/>
          <w:sz w:val="24"/>
          <w:highlight w:val="none"/>
        </w:rPr>
        <w:t>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方式或通过电子邮箱（</w:t>
      </w:r>
      <w:r>
        <w:rPr>
          <w:rFonts w:hint="eastAsia" w:ascii="宋体" w:hAnsi="宋体" w:eastAsia="宋体"/>
          <w:color w:val="auto"/>
          <w:sz w:val="24"/>
          <w:highlight w:val="none"/>
          <w:lang w:eastAsia="zh-CN"/>
        </w:rPr>
        <w:t>1225240102</w:t>
      </w:r>
      <w:r>
        <w:rPr>
          <w:rFonts w:hint="eastAsia" w:ascii="宋体" w:hAnsi="宋体" w:eastAsia="宋体"/>
          <w:color w:val="auto"/>
          <w:sz w:val="24"/>
          <w:highlight w:val="none"/>
        </w:rPr>
        <w:t>@qq.com）方式</w:t>
      </w:r>
      <w:r>
        <w:rPr>
          <w:rFonts w:ascii="宋体" w:hAnsi="宋体" w:eastAsia="宋体"/>
          <w:color w:val="auto"/>
          <w:sz w:val="24"/>
          <w:highlight w:val="none"/>
        </w:rPr>
        <w:t>进行，并不得超出投标文件范围或者改变投标文件的实质性内容。</w:t>
      </w:r>
    </w:p>
    <w:p w14:paraId="6B30707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3C58255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1C9CF1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15.3</w:t>
      </w:r>
      <w:r>
        <w:rPr>
          <w:rFonts w:ascii="宋体" w:hAnsi="宋体" w:eastAsia="宋体"/>
          <w:color w:val="auto"/>
          <w:sz w:val="24"/>
          <w:highlight w:val="none"/>
        </w:rPr>
        <w:t>投标文件报价出现前后不一致的，按照下列规定修正：</w:t>
      </w:r>
    </w:p>
    <w:p w14:paraId="4BD9D692">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7F09895C">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2BE784F6">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6BE492A1">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ADA0C58">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条的规定经投标人确认后产生约束力，</w:t>
      </w:r>
      <w:r>
        <w:rPr>
          <w:rFonts w:hint="eastAsia" w:ascii="宋体" w:hAnsi="宋体" w:eastAsia="宋体"/>
          <w:color w:val="auto"/>
          <w:sz w:val="24"/>
          <w:highlight w:val="none"/>
        </w:rPr>
        <w:t>无论投标人是接受或是拒绝调整后的价格，都应当由投标人确认。投标人拒绝对投标文件出现的错漏按上述原则进行修正、澄清、说明，其投标将被认定为投标无效。</w:t>
      </w:r>
    </w:p>
    <w:p w14:paraId="5A186E80">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653F8D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0E7F4AB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462483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97A2C5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F04F4A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C2B8B9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5D969AD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75BED72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w:t>
      </w:r>
      <w:r>
        <w:rPr>
          <w:rFonts w:hint="eastAsia" w:asciiTheme="minorEastAsia" w:hAnsiTheme="minorEastAsia" w:eastAsiaTheme="minorEastAsia"/>
          <w:color w:val="auto"/>
          <w:sz w:val="24"/>
          <w:highlight w:val="none"/>
          <w:lang w:val="en-US" w:eastAsia="zh-CN"/>
        </w:rPr>
        <w:t>低于</w:t>
      </w:r>
      <w:r>
        <w:rPr>
          <w:rFonts w:asciiTheme="minorEastAsia" w:hAnsiTheme="minorEastAsia" w:eastAsiaTheme="minorEastAsia"/>
          <w:color w:val="auto"/>
          <w:sz w:val="24"/>
          <w:highlight w:val="none"/>
        </w:rPr>
        <w:t>招标文件中规定的预算金额或者最</w:t>
      </w:r>
      <w:r>
        <w:rPr>
          <w:rFonts w:hint="eastAsia" w:asciiTheme="minorEastAsia" w:hAnsiTheme="minorEastAsia" w:eastAsiaTheme="minorEastAsia"/>
          <w:color w:val="auto"/>
          <w:sz w:val="24"/>
          <w:highlight w:val="none"/>
          <w:lang w:val="en-US" w:eastAsia="zh-CN"/>
        </w:rPr>
        <w:t>低</w:t>
      </w:r>
      <w:r>
        <w:rPr>
          <w:rFonts w:asciiTheme="minorEastAsia" w:hAnsiTheme="minorEastAsia" w:eastAsiaTheme="minorEastAsia"/>
          <w:color w:val="auto"/>
          <w:sz w:val="24"/>
          <w:highlight w:val="none"/>
        </w:rPr>
        <w:t>限价的；</w:t>
      </w:r>
    </w:p>
    <w:p w14:paraId="355039E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1CAF543">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42300613">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4765CE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17.1经符合性审查合格的投标文件，评标委员会将根据招标文件确定的评标方法和标准，对其投标文件作进一步的比较与评价。</w:t>
      </w:r>
    </w:p>
    <w:p w14:paraId="27B409F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中规定采用下列评标方法，详细评标方法和标准见招标文件第四章：</w:t>
      </w:r>
    </w:p>
    <w:p w14:paraId="40F02E83">
      <w:pPr>
        <w:spacing w:line="360" w:lineRule="auto"/>
        <w:ind w:firstLine="435"/>
        <w:rPr>
          <w:rFonts w:hint="eastAsia" w:ascii="宋体" w:hAnsi="宋体" w:eastAsia="宋体"/>
          <w:color w:val="auto"/>
          <w:sz w:val="24"/>
          <w:highlight w:val="none"/>
        </w:rPr>
      </w:pPr>
      <w:r>
        <w:rPr>
          <w:rFonts w:hint="eastAsia" w:ascii="宋体" w:hAnsi="宋体" w:eastAsia="宋体"/>
          <w:b/>
          <w:bCs/>
          <w:color w:val="auto"/>
          <w:sz w:val="24"/>
          <w:highlight w:val="none"/>
        </w:rPr>
        <w:t>最</w:t>
      </w:r>
      <w:r>
        <w:rPr>
          <w:rFonts w:hint="eastAsia" w:ascii="宋体" w:hAnsi="宋体" w:eastAsia="宋体"/>
          <w:b/>
          <w:bCs/>
          <w:color w:val="auto"/>
          <w:sz w:val="24"/>
          <w:highlight w:val="none"/>
          <w:lang w:val="en-US" w:eastAsia="zh-CN"/>
        </w:rPr>
        <w:t>高</w:t>
      </w:r>
      <w:r>
        <w:rPr>
          <w:rFonts w:hint="eastAsia" w:ascii="宋体" w:hAnsi="宋体" w:eastAsia="宋体"/>
          <w:b/>
          <w:bCs/>
          <w:color w:val="auto"/>
          <w:sz w:val="24"/>
          <w:highlight w:val="none"/>
        </w:rPr>
        <w:t>评标价法，</w:t>
      </w:r>
      <w:r>
        <w:rPr>
          <w:rFonts w:hint="eastAsia" w:ascii="宋体" w:hAnsi="宋体" w:eastAsia="宋体"/>
          <w:color w:val="auto"/>
          <w:sz w:val="24"/>
          <w:highlight w:val="none"/>
        </w:rPr>
        <w:t>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w:t>
      </w:r>
      <w:r>
        <w:rPr>
          <w:rFonts w:hint="eastAsia" w:ascii="宋体" w:hAnsi="宋体" w:eastAsia="宋体"/>
          <w:color w:val="auto"/>
          <w:sz w:val="24"/>
          <w:highlight w:val="none"/>
          <w:lang w:val="en-US" w:eastAsia="zh-CN"/>
        </w:rPr>
        <w:t>高</w:t>
      </w:r>
      <w:r>
        <w:rPr>
          <w:rFonts w:ascii="宋体" w:hAnsi="宋体" w:eastAsia="宋体"/>
          <w:color w:val="auto"/>
          <w:sz w:val="24"/>
          <w:highlight w:val="none"/>
        </w:rPr>
        <w:t>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7DD4C799">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66FA30D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2730967A">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E098F2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79C8ACE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）因重大变故，采购任务取消的。</w:t>
      </w:r>
    </w:p>
    <w:p w14:paraId="4855D8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val="0"/>
          <w:bCs w:val="0"/>
          <w:color w:val="auto"/>
          <w:sz w:val="24"/>
          <w:highlight w:val="none"/>
        </w:rPr>
        <w:t>18.2</w:t>
      </w:r>
      <w:r>
        <w:rPr>
          <w:rFonts w:hint="eastAsia" w:asciiTheme="minorEastAsia" w:hAnsiTheme="minorEastAsia" w:eastAsiaTheme="minorEastAsia"/>
          <w:b w:val="0"/>
          <w:bCs w:val="0"/>
          <w:color w:val="auto"/>
          <w:sz w:val="24"/>
          <w:highlight w:val="none"/>
          <w:lang w:val="en-US" w:eastAsia="zh-CN"/>
        </w:rPr>
        <w:t>本项目</w:t>
      </w:r>
      <w:r>
        <w:rPr>
          <w:rFonts w:hint="eastAsia" w:asciiTheme="minorEastAsia" w:hAnsiTheme="minorEastAsia" w:eastAsiaTheme="minorEastAsia"/>
          <w:color w:val="auto"/>
          <w:sz w:val="24"/>
          <w:highlight w:val="none"/>
        </w:rPr>
        <w:t>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资格审查或符合性审查的投标人不足</w:t>
      </w:r>
      <w:r>
        <w:rPr>
          <w:rFonts w:asciiTheme="minorEastAsia" w:hAnsiTheme="minorEastAsia" w:eastAsiaTheme="minorEastAsia"/>
          <w:color w:val="auto"/>
          <w:sz w:val="24"/>
          <w:highlight w:val="none"/>
        </w:rPr>
        <w:t>3家的，除采购任务取消情形外，按照以下方式处理：</w:t>
      </w:r>
    </w:p>
    <w:p w14:paraId="7CE5B8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72FD877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w:t>
      </w:r>
      <w:r>
        <w:rPr>
          <w:rFonts w:hint="eastAsia" w:asciiTheme="minorEastAsia" w:hAnsiTheme="minorEastAsia" w:eastAsiaTheme="minorEastAsia"/>
          <w:color w:val="auto"/>
          <w:sz w:val="24"/>
          <w:highlight w:val="none"/>
          <w:lang w:val="en-US" w:eastAsia="zh-CN"/>
        </w:rPr>
        <w:t>需</w:t>
      </w:r>
      <w:r>
        <w:rPr>
          <w:rFonts w:hint="eastAsia" w:asciiTheme="minorEastAsia" w:hAnsiTheme="minorEastAsia" w:eastAsiaTheme="minorEastAsia"/>
          <w:b w:val="0"/>
          <w:bCs w:val="0"/>
          <w:color w:val="auto"/>
          <w:sz w:val="24"/>
          <w:highlight w:val="none"/>
          <w:lang w:val="en-US" w:eastAsia="zh-CN"/>
        </w:rPr>
        <w:t>采购人</w:t>
      </w:r>
      <w:r>
        <w:rPr>
          <w:rFonts w:hint="eastAsia" w:asciiTheme="minorEastAsia" w:hAnsiTheme="minorEastAsia" w:eastAsiaTheme="minorEastAsia"/>
          <w:b w:val="0"/>
          <w:bCs w:val="0"/>
          <w:color w:val="auto"/>
          <w:sz w:val="24"/>
          <w:highlight w:val="none"/>
        </w:rPr>
        <w:t>同意</w:t>
      </w:r>
      <w:r>
        <w:rPr>
          <w:rFonts w:hint="eastAsia" w:asciiTheme="minorEastAsia" w:hAnsiTheme="minorEastAsia" w:eastAsiaTheme="minorEastAsia"/>
          <w:b w:val="0"/>
          <w:bCs w:val="0"/>
          <w:color w:val="auto"/>
          <w:sz w:val="24"/>
          <w:highlight w:val="none"/>
          <w:lang w:val="en-US" w:eastAsia="zh-CN"/>
        </w:rPr>
        <w:t>后方可实施</w:t>
      </w:r>
      <w:r>
        <w:rPr>
          <w:rFonts w:hint="eastAsia" w:asciiTheme="minorEastAsia" w:hAnsiTheme="minorEastAsia" w:eastAsiaTheme="minorEastAsia"/>
          <w:color w:val="auto"/>
          <w:sz w:val="24"/>
          <w:highlight w:val="none"/>
        </w:rPr>
        <w:t>。</w:t>
      </w:r>
    </w:p>
    <w:p w14:paraId="0912031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30CF26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BD372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5FF8B41D">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3229D1E">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41F266E8">
      <w:pPr>
        <w:spacing w:line="360" w:lineRule="auto"/>
        <w:ind w:firstLine="437"/>
        <w:outlineLvl w:val="2"/>
        <w:rPr>
          <w:rFonts w:hint="eastAsia" w:asciiTheme="minorEastAsia" w:hAnsiTheme="minorEastAsia" w:eastAsiaTheme="minorEastAsia"/>
          <w:color w:val="auto"/>
          <w:sz w:val="24"/>
          <w:highlight w:val="none"/>
        </w:rPr>
      </w:pPr>
      <w:r>
        <w:rPr>
          <w:rFonts w:asciiTheme="minorEastAsia" w:hAnsiTheme="minorEastAsia" w:eastAsiaTheme="minorEastAsia"/>
          <w:b/>
          <w:bCs/>
          <w:color w:val="auto"/>
          <w:sz w:val="24"/>
          <w:highlight w:val="none"/>
        </w:rPr>
        <w:t>采用最</w:t>
      </w:r>
      <w:r>
        <w:rPr>
          <w:rFonts w:hint="eastAsia" w:asciiTheme="minorEastAsia" w:hAnsiTheme="minorEastAsia" w:eastAsiaTheme="minorEastAsia"/>
          <w:b/>
          <w:bCs/>
          <w:color w:val="auto"/>
          <w:sz w:val="24"/>
          <w:highlight w:val="none"/>
          <w:lang w:val="en-US" w:eastAsia="zh-CN"/>
        </w:rPr>
        <w:t>高</w:t>
      </w:r>
      <w:r>
        <w:rPr>
          <w:rFonts w:asciiTheme="minorEastAsia" w:hAnsiTheme="minorEastAsia" w:eastAsiaTheme="minorEastAsia"/>
          <w:b/>
          <w:bCs/>
          <w:color w:val="auto"/>
          <w:sz w:val="24"/>
          <w:highlight w:val="none"/>
        </w:rPr>
        <w:t>评标价法的，</w:t>
      </w:r>
      <w:r>
        <w:rPr>
          <w:rFonts w:asciiTheme="minorEastAsia" w:hAnsiTheme="minorEastAsia" w:eastAsiaTheme="minorEastAsia"/>
          <w:color w:val="auto"/>
          <w:sz w:val="24"/>
          <w:highlight w:val="none"/>
        </w:rPr>
        <w:t>除了算术修正价格扣除外，不对投标人的投标价格进行任何调整。评标结果按修正后的投标报价由</w:t>
      </w:r>
      <w:r>
        <w:rPr>
          <w:rFonts w:hint="eastAsia" w:asciiTheme="minorEastAsia" w:hAnsiTheme="minorEastAsia" w:eastAsiaTheme="minorEastAsia"/>
          <w:color w:val="auto"/>
          <w:sz w:val="24"/>
          <w:highlight w:val="none"/>
          <w:lang w:val="en-US" w:eastAsia="zh-CN"/>
        </w:rPr>
        <w:t>高</w:t>
      </w:r>
      <w:r>
        <w:rPr>
          <w:rFonts w:asciiTheme="minorEastAsia" w:hAnsiTheme="minorEastAsia" w:eastAsiaTheme="minorEastAsia"/>
          <w:color w:val="auto"/>
          <w:sz w:val="24"/>
          <w:highlight w:val="none"/>
        </w:rPr>
        <w:t>到</w:t>
      </w:r>
      <w:r>
        <w:rPr>
          <w:rFonts w:hint="eastAsia" w:asciiTheme="minorEastAsia" w:hAnsiTheme="minorEastAsia" w:eastAsiaTheme="minorEastAsia"/>
          <w:color w:val="auto"/>
          <w:sz w:val="24"/>
          <w:highlight w:val="none"/>
          <w:lang w:val="en-US" w:eastAsia="zh-CN"/>
        </w:rPr>
        <w:t>低</w:t>
      </w:r>
      <w:r>
        <w:rPr>
          <w:rFonts w:asciiTheme="minorEastAsia" w:hAnsiTheme="minorEastAsia" w:eastAsiaTheme="minorEastAsia"/>
          <w:color w:val="auto"/>
          <w:sz w:val="24"/>
          <w:highlight w:val="none"/>
        </w:rPr>
        <w:t>顺序排列。修正后的投标报价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B62B869">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65495DB9">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4A9D6A4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1403317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598D458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1BB0EE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6DB5209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8B0A45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B9D62C5">
      <w:pPr>
        <w:spacing w:line="360" w:lineRule="auto"/>
        <w:ind w:firstLine="435"/>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自中标人确定之日起2个工作日内，采购代理机构将在滁州市第一人民医院网上发布中标结果公告。</w:t>
      </w:r>
    </w:p>
    <w:p w14:paraId="4325C51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w:t>
      </w:r>
      <w:r>
        <w:rPr>
          <w:rFonts w:ascii="宋体" w:hAnsi="宋体" w:eastAsia="宋体"/>
          <w:color w:val="auto"/>
          <w:sz w:val="24"/>
          <w:highlight w:val="none"/>
        </w:rPr>
        <w:t>主要中标标的的名称、</w:t>
      </w:r>
      <w:r>
        <w:rPr>
          <w:rFonts w:hint="eastAsia" w:ascii="宋体" w:hAnsi="宋体" w:eastAsia="宋体"/>
          <w:color w:val="auto"/>
          <w:sz w:val="24"/>
          <w:highlight w:val="none"/>
        </w:rPr>
        <w:t>服务范围</w:t>
      </w:r>
      <w:r>
        <w:rPr>
          <w:rFonts w:ascii="宋体" w:hAnsi="宋体" w:eastAsia="宋体"/>
          <w:color w:val="auto"/>
          <w:sz w:val="24"/>
          <w:highlight w:val="none"/>
        </w:rPr>
        <w:t>、</w:t>
      </w:r>
      <w:r>
        <w:rPr>
          <w:rFonts w:hint="eastAsia" w:ascii="宋体" w:hAnsi="宋体" w:eastAsia="宋体"/>
          <w:color w:val="auto"/>
          <w:sz w:val="24"/>
          <w:highlight w:val="none"/>
        </w:rPr>
        <w:t>服务要求</w:t>
      </w:r>
      <w:r>
        <w:rPr>
          <w:rFonts w:ascii="宋体" w:hAnsi="宋体" w:eastAsia="宋体"/>
          <w:color w:val="auto"/>
          <w:sz w:val="24"/>
          <w:highlight w:val="none"/>
        </w:rPr>
        <w:t>、</w:t>
      </w:r>
      <w:r>
        <w:rPr>
          <w:rFonts w:hint="eastAsia" w:ascii="宋体" w:hAnsi="宋体" w:eastAsia="宋体"/>
          <w:color w:val="auto"/>
          <w:sz w:val="24"/>
          <w:highlight w:val="none"/>
        </w:rPr>
        <w:t>服务时间</w:t>
      </w:r>
      <w:r>
        <w:rPr>
          <w:rFonts w:ascii="宋体" w:hAnsi="宋体" w:eastAsia="宋体"/>
          <w:color w:val="auto"/>
          <w:sz w:val="24"/>
          <w:highlight w:val="none"/>
        </w:rPr>
        <w:t>、</w:t>
      </w:r>
      <w:r>
        <w:rPr>
          <w:rFonts w:hint="eastAsia" w:ascii="宋体" w:hAnsi="宋体" w:eastAsia="宋体"/>
          <w:color w:val="auto"/>
          <w:sz w:val="24"/>
          <w:highlight w:val="none"/>
        </w:rPr>
        <w:t>服务标准</w:t>
      </w:r>
      <w:r>
        <w:rPr>
          <w:rFonts w:ascii="宋体" w:hAnsi="宋体" w:eastAsia="宋体"/>
          <w:color w:val="auto"/>
          <w:sz w:val="24"/>
          <w:highlight w:val="none"/>
        </w:rPr>
        <w:t>，中标公告期限</w:t>
      </w:r>
      <w:r>
        <w:rPr>
          <w:rFonts w:asciiTheme="minorEastAsia" w:hAnsiTheme="minorEastAsia" w:eastAsiaTheme="minorEastAsia"/>
          <w:color w:val="auto"/>
          <w:sz w:val="24"/>
          <w:highlight w:val="none"/>
        </w:rPr>
        <w:t>，中标公告期限以及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29CA558F">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4128DD">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r>
        <w:rPr>
          <w:rFonts w:hint="eastAsia" w:asciiTheme="minorEastAsia" w:hAnsiTheme="minorEastAsia" w:eastAsiaTheme="minorEastAsia"/>
          <w:color w:val="auto"/>
          <w:sz w:val="24"/>
          <w:highlight w:val="none"/>
        </w:rPr>
        <w:t>中标通知书须加盖采购人、采购代理机构公章后，方可发出。</w:t>
      </w:r>
    </w:p>
    <w:p w14:paraId="28C97EED">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55171F5D">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31B27BF">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3D0B8F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95552EC">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495AE43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3EF168C5">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E4D2B2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017D4BF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3ED8F41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17EAC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A1AADD2">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4C8B326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1319361E">
      <w:pPr>
        <w:spacing w:line="360" w:lineRule="auto"/>
        <w:ind w:firstLine="437"/>
        <w:outlineLvl w:val="2"/>
        <w:rPr>
          <w:rFonts w:hint="eastAsia" w:asciiTheme="minorEastAsia" w:hAnsiTheme="minorEastAsia" w:eastAsiaTheme="minorEastAsia"/>
          <w:b/>
          <w:color w:val="auto"/>
          <w:sz w:val="24"/>
          <w:highlight w:val="none"/>
        </w:rPr>
      </w:pPr>
      <w:bookmarkStart w:id="44" w:name="_Toc2583661"/>
      <w:bookmarkStart w:id="45"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44"/>
      <w:bookmarkEnd w:id="45"/>
    </w:p>
    <w:p w14:paraId="493DE62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66B43EE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BDE666F">
      <w:pPr>
        <w:spacing w:line="360" w:lineRule="auto"/>
        <w:ind w:firstLine="437"/>
        <w:outlineLvl w:val="2"/>
        <w:rPr>
          <w:rFonts w:hint="eastAsia" w:asciiTheme="minorEastAsia" w:hAnsiTheme="minorEastAsia" w:eastAsiaTheme="minorEastAsia"/>
          <w:b/>
          <w:color w:val="auto"/>
          <w:sz w:val="24"/>
          <w:highlight w:val="none"/>
        </w:rPr>
      </w:pPr>
      <w:bookmarkStart w:id="46" w:name="_Toc2583662"/>
      <w:bookmarkStart w:id="47" w:name="_Toc518923101"/>
      <w:r>
        <w:rPr>
          <w:rFonts w:hint="eastAsia" w:asciiTheme="minorEastAsia" w:hAnsiTheme="minorEastAsia" w:eastAsiaTheme="minorEastAsia"/>
          <w:b/>
          <w:color w:val="auto"/>
          <w:sz w:val="24"/>
          <w:highlight w:val="none"/>
        </w:rPr>
        <w:t>30.人员回避</w:t>
      </w:r>
      <w:bookmarkEnd w:id="46"/>
      <w:bookmarkEnd w:id="47"/>
    </w:p>
    <w:p w14:paraId="0E0C787C">
      <w:pPr>
        <w:spacing w:line="360" w:lineRule="auto"/>
        <w:ind w:firstLine="435"/>
        <w:rPr>
          <w:rFonts w:hint="eastAsia"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0F76DD7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5E1A6BA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36A0CE9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522175E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8B507F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03FF81E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7C270EF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7408E">
      <w:pPr>
        <w:widowControl/>
        <w:jc w:val="left"/>
        <w:rPr>
          <w:rFonts w:hint="eastAsia"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6F43B10">
      <w:pPr>
        <w:spacing w:line="360" w:lineRule="auto"/>
        <w:jc w:val="center"/>
        <w:outlineLvl w:val="0"/>
        <w:rPr>
          <w:rFonts w:hint="eastAsia" w:asciiTheme="minorEastAsia" w:hAnsiTheme="minorEastAsia" w:eastAsiaTheme="minorEastAsia"/>
          <w:b/>
          <w:color w:val="auto"/>
          <w:sz w:val="28"/>
          <w:highlight w:val="none"/>
        </w:rPr>
      </w:pPr>
      <w:bookmarkStart w:id="48" w:name="_Toc32012"/>
      <w:r>
        <w:rPr>
          <w:rFonts w:hint="eastAsia" w:asciiTheme="minorEastAsia" w:hAnsiTheme="minorEastAsia" w:eastAsiaTheme="minorEastAsia"/>
          <w:b/>
          <w:color w:val="auto"/>
          <w:sz w:val="28"/>
          <w:highlight w:val="none"/>
        </w:rPr>
        <w:t>第三章  采购需求</w:t>
      </w:r>
      <w:bookmarkEnd w:id="48"/>
    </w:p>
    <w:p w14:paraId="4348F7A8">
      <w:pPr>
        <w:spacing w:line="360" w:lineRule="auto"/>
        <w:ind w:firstLine="530" w:firstLineChars="220"/>
        <w:outlineLvl w:val="1"/>
        <w:rPr>
          <w:rFonts w:hint="eastAsia" w:ascii="宋体" w:hAnsi="宋体" w:eastAsia="宋体"/>
          <w:b/>
          <w:color w:val="auto"/>
          <w:sz w:val="24"/>
          <w:szCs w:val="18"/>
          <w:highlight w:val="none"/>
        </w:rPr>
      </w:pPr>
      <w:bookmarkStart w:id="49" w:name="_Toc2554"/>
      <w:bookmarkStart w:id="50" w:name="_Toc32151"/>
      <w:bookmarkStart w:id="51" w:name="_Toc16968"/>
      <w:r>
        <w:rPr>
          <w:rFonts w:hint="eastAsia" w:ascii="宋体" w:hAnsi="宋体" w:eastAsia="宋体"/>
          <w:b/>
          <w:color w:val="auto"/>
          <w:sz w:val="24"/>
          <w:szCs w:val="18"/>
          <w:highlight w:val="none"/>
        </w:rPr>
        <w:t>一、采购需求前附表</w:t>
      </w:r>
      <w:bookmarkEnd w:id="49"/>
      <w:bookmarkEnd w:id="50"/>
      <w:bookmarkEnd w:id="51"/>
    </w:p>
    <w:tbl>
      <w:tblPr>
        <w:tblStyle w:val="26"/>
        <w:tblW w:w="52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910"/>
        <w:gridCol w:w="6340"/>
      </w:tblGrid>
      <w:tr w14:paraId="0C81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416" w:type="pct"/>
            <w:vAlign w:val="center"/>
          </w:tcPr>
          <w:p w14:paraId="6151C2FE">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061" w:type="pct"/>
            <w:vAlign w:val="center"/>
          </w:tcPr>
          <w:p w14:paraId="18B277BF">
            <w:pPr>
              <w:pStyle w:val="44"/>
              <w:keepNext w:val="0"/>
              <w:keepLines w:val="0"/>
              <w:widowControl w:val="0"/>
              <w:suppressLineNumbers w:val="0"/>
              <w:spacing w:before="0" w:beforeAutospacing="0" w:after="0" w:afterAutospacing="0" w:line="360" w:lineRule="auto"/>
              <w:ind w:left="0" w:right="0" w:firstLine="43"/>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522" w:type="pct"/>
            <w:vAlign w:val="center"/>
          </w:tcPr>
          <w:p w14:paraId="11A89C54">
            <w:pPr>
              <w:pStyle w:val="44"/>
              <w:keepNext w:val="0"/>
              <w:keepLines w:val="0"/>
              <w:widowControl w:val="0"/>
              <w:suppressLineNumbers w:val="0"/>
              <w:spacing w:before="0" w:beforeAutospacing="0" w:after="0" w:afterAutospacing="0" w:line="360" w:lineRule="auto"/>
              <w:ind w:left="0" w:right="0" w:firstLine="43"/>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1CE6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416" w:type="pct"/>
            <w:vAlign w:val="center"/>
          </w:tcPr>
          <w:p w14:paraId="6FE0ED4A">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
                <w:bCs w:val="0"/>
                <w:color w:val="auto"/>
                <w:kern w:val="2"/>
                <w:highlight w:val="none"/>
              </w:rPr>
            </w:pPr>
            <w:r>
              <w:rPr>
                <w:rFonts w:hint="eastAsia" w:ascii="宋体" w:hAnsi="宋体" w:eastAsia="宋体"/>
                <w:b/>
                <w:bCs w:val="0"/>
                <w:color w:val="auto"/>
                <w:kern w:val="2"/>
                <w:highlight w:val="none"/>
              </w:rPr>
              <w:t>1</w:t>
            </w:r>
          </w:p>
        </w:tc>
        <w:tc>
          <w:tcPr>
            <w:tcW w:w="1061" w:type="pct"/>
            <w:vAlign w:val="center"/>
          </w:tcPr>
          <w:p w14:paraId="22FC200D">
            <w:pPr>
              <w:pStyle w:val="44"/>
              <w:keepNext w:val="0"/>
              <w:keepLines w:val="0"/>
              <w:widowControl w:val="0"/>
              <w:suppressLineNumbers w:val="0"/>
              <w:spacing w:before="0" w:beforeAutospacing="0" w:after="0" w:afterAutospacing="0"/>
              <w:ind w:left="0" w:right="0" w:firstLine="43"/>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付款方式</w:t>
            </w:r>
          </w:p>
        </w:tc>
        <w:tc>
          <w:tcPr>
            <w:tcW w:w="3522" w:type="pct"/>
            <w:vAlign w:val="center"/>
          </w:tcPr>
          <w:p w14:paraId="5A74A2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3" w:firstLineChars="0"/>
              <w:jc w:val="left"/>
              <w:textAlignment w:val="auto"/>
              <w:rPr>
                <w:rFonts w:hint="eastAsia" w:ascii="宋体" w:hAnsi="宋体" w:eastAsia="宋体"/>
                <w:b/>
                <w:bCs w:val="0"/>
                <w:color w:val="auto"/>
                <w:kern w:val="0"/>
                <w:sz w:val="24"/>
                <w:szCs w:val="28"/>
                <w:highlight w:val="none"/>
                <w:lang w:eastAsia="zh-CN"/>
              </w:rPr>
            </w:pPr>
            <w:r>
              <w:rPr>
                <w:rFonts w:hint="eastAsia" w:ascii="宋体" w:hAnsi="宋体" w:eastAsia="宋体"/>
                <w:b/>
                <w:bCs w:val="0"/>
                <w:color w:val="auto"/>
                <w:kern w:val="0"/>
                <w:sz w:val="24"/>
                <w:szCs w:val="28"/>
                <w:highlight w:val="none"/>
              </w:rPr>
              <w:t>合同</w:t>
            </w:r>
            <w:r>
              <w:rPr>
                <w:rFonts w:hint="eastAsia" w:ascii="宋体" w:hAnsi="宋体" w:eastAsia="宋体"/>
                <w:b/>
                <w:bCs w:val="0"/>
                <w:color w:val="auto"/>
                <w:kern w:val="0"/>
                <w:sz w:val="24"/>
                <w:szCs w:val="28"/>
                <w:highlight w:val="none"/>
                <w:lang w:val="en-US" w:eastAsia="zh-CN"/>
              </w:rPr>
              <w:t>生效</w:t>
            </w:r>
            <w:r>
              <w:rPr>
                <w:rFonts w:hint="eastAsia" w:ascii="宋体" w:hAnsi="宋体" w:eastAsia="宋体"/>
                <w:b/>
                <w:bCs w:val="0"/>
                <w:color w:val="auto"/>
                <w:kern w:val="0"/>
                <w:sz w:val="24"/>
                <w:szCs w:val="28"/>
                <w:highlight w:val="none"/>
              </w:rPr>
              <w:t>后3日内一次性将本年度回收款汇入我院账户。否则院方有权与中标方解除合同，并将其纳入黑名单，此后不得参与我院的所有招标项目</w:t>
            </w:r>
            <w:r>
              <w:rPr>
                <w:rFonts w:hint="eastAsia" w:ascii="宋体" w:hAnsi="宋体" w:eastAsia="宋体"/>
                <w:b/>
                <w:bCs w:val="0"/>
                <w:color w:val="auto"/>
                <w:kern w:val="0"/>
                <w:sz w:val="24"/>
                <w:szCs w:val="28"/>
                <w:highlight w:val="none"/>
                <w:lang w:eastAsia="zh-CN"/>
              </w:rPr>
              <w:t>。</w:t>
            </w:r>
          </w:p>
        </w:tc>
      </w:tr>
      <w:tr w14:paraId="6601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16" w:type="pct"/>
            <w:vAlign w:val="center"/>
          </w:tcPr>
          <w:p w14:paraId="6148BA87">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
                <w:bCs w:val="0"/>
                <w:color w:val="auto"/>
                <w:kern w:val="2"/>
                <w:highlight w:val="none"/>
              </w:rPr>
            </w:pPr>
            <w:r>
              <w:rPr>
                <w:rFonts w:hint="eastAsia" w:ascii="宋体" w:hAnsi="宋体" w:eastAsia="宋体"/>
                <w:b/>
                <w:bCs w:val="0"/>
                <w:color w:val="auto"/>
                <w:kern w:val="2"/>
                <w:highlight w:val="none"/>
              </w:rPr>
              <w:t>2</w:t>
            </w:r>
          </w:p>
        </w:tc>
        <w:tc>
          <w:tcPr>
            <w:tcW w:w="1061" w:type="pct"/>
            <w:vAlign w:val="center"/>
          </w:tcPr>
          <w:p w14:paraId="3E28B1E6">
            <w:pPr>
              <w:pStyle w:val="44"/>
              <w:keepNext w:val="0"/>
              <w:keepLines w:val="0"/>
              <w:widowControl w:val="0"/>
              <w:suppressLineNumbers w:val="0"/>
              <w:spacing w:before="0" w:beforeAutospacing="0" w:after="0" w:afterAutospacing="0"/>
              <w:ind w:left="0" w:right="0" w:firstLine="43"/>
              <w:rPr>
                <w:rFonts w:hint="eastAsia" w:ascii="宋体" w:hAnsi="宋体" w:eastAsia="宋体"/>
                <w:b/>
                <w:bCs w:val="0"/>
                <w:color w:val="auto"/>
                <w:sz w:val="24"/>
                <w:highlight w:val="none"/>
              </w:rPr>
            </w:pPr>
            <w:r>
              <w:rPr>
                <w:rFonts w:hint="eastAsia" w:ascii="宋体" w:hAnsi="宋体" w:eastAsia="宋体"/>
                <w:b/>
                <w:bCs w:val="0"/>
                <w:color w:val="auto"/>
                <w:sz w:val="24"/>
                <w:highlight w:val="none"/>
                <w:lang w:val="en-US" w:eastAsia="zh-CN"/>
              </w:rPr>
              <w:t>服务</w:t>
            </w:r>
            <w:r>
              <w:rPr>
                <w:rFonts w:hint="eastAsia" w:ascii="宋体" w:hAnsi="宋体" w:eastAsia="宋体"/>
                <w:b/>
                <w:bCs w:val="0"/>
                <w:color w:val="auto"/>
                <w:sz w:val="24"/>
                <w:highlight w:val="none"/>
              </w:rPr>
              <w:t>地点</w:t>
            </w:r>
          </w:p>
        </w:tc>
        <w:tc>
          <w:tcPr>
            <w:tcW w:w="3522" w:type="pct"/>
            <w:vAlign w:val="center"/>
          </w:tcPr>
          <w:p w14:paraId="3A3D8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3" w:firstLineChars="0"/>
              <w:jc w:val="left"/>
              <w:textAlignment w:val="auto"/>
              <w:rPr>
                <w:rFonts w:hint="eastAsia" w:ascii="宋体" w:hAnsi="宋体" w:eastAsia="宋体"/>
                <w:b/>
                <w:bCs w:val="0"/>
                <w:color w:val="auto"/>
                <w:kern w:val="0"/>
                <w:sz w:val="24"/>
                <w:szCs w:val="28"/>
                <w:highlight w:val="none"/>
              </w:rPr>
            </w:pPr>
            <w:r>
              <w:rPr>
                <w:rFonts w:hint="eastAsia" w:ascii="宋体" w:hAnsi="宋体" w:eastAsia="宋体"/>
                <w:b/>
                <w:bCs w:val="0"/>
                <w:color w:val="auto"/>
                <w:kern w:val="0"/>
                <w:sz w:val="24"/>
                <w:szCs w:val="28"/>
                <w:highlight w:val="none"/>
              </w:rPr>
              <w:t>滁州市第一人民医院（采购人指定地点）</w:t>
            </w:r>
          </w:p>
        </w:tc>
      </w:tr>
      <w:tr w14:paraId="3DB7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16" w:type="pct"/>
            <w:vAlign w:val="center"/>
          </w:tcPr>
          <w:p w14:paraId="58711BD2">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
                <w:bCs w:val="0"/>
                <w:color w:val="auto"/>
                <w:kern w:val="2"/>
                <w:highlight w:val="none"/>
              </w:rPr>
            </w:pPr>
            <w:r>
              <w:rPr>
                <w:rFonts w:hint="eastAsia" w:ascii="宋体" w:hAnsi="宋体" w:eastAsia="宋体"/>
                <w:b/>
                <w:bCs w:val="0"/>
                <w:color w:val="auto"/>
                <w:kern w:val="2"/>
                <w:highlight w:val="none"/>
              </w:rPr>
              <w:t>3</w:t>
            </w:r>
          </w:p>
        </w:tc>
        <w:tc>
          <w:tcPr>
            <w:tcW w:w="1061" w:type="pct"/>
            <w:vAlign w:val="center"/>
          </w:tcPr>
          <w:p w14:paraId="06452674">
            <w:pPr>
              <w:pStyle w:val="44"/>
              <w:keepNext w:val="0"/>
              <w:keepLines w:val="0"/>
              <w:widowControl w:val="0"/>
              <w:suppressLineNumbers w:val="0"/>
              <w:spacing w:before="0" w:beforeAutospacing="0" w:after="0" w:afterAutospacing="0"/>
              <w:ind w:left="0" w:right="0" w:firstLine="43"/>
              <w:rPr>
                <w:rFonts w:hint="eastAsia" w:ascii="宋体" w:hAnsi="宋体" w:eastAsia="宋体"/>
                <w:b/>
                <w:bCs w:val="0"/>
                <w:color w:val="auto"/>
                <w:sz w:val="24"/>
                <w:highlight w:val="none"/>
              </w:rPr>
            </w:pPr>
            <w:r>
              <w:rPr>
                <w:rFonts w:hint="eastAsia" w:ascii="宋体" w:hAnsi="宋体" w:eastAsia="宋体"/>
                <w:b/>
                <w:bCs w:val="0"/>
                <w:color w:val="auto"/>
                <w:sz w:val="24"/>
                <w:highlight w:val="none"/>
                <w:lang w:val="en-US" w:eastAsia="zh-CN"/>
              </w:rPr>
              <w:t>服务</w:t>
            </w:r>
            <w:r>
              <w:rPr>
                <w:rFonts w:hint="eastAsia" w:ascii="宋体" w:hAnsi="宋体" w:eastAsia="宋体"/>
                <w:b/>
                <w:bCs w:val="0"/>
                <w:color w:val="auto"/>
                <w:sz w:val="24"/>
                <w:highlight w:val="none"/>
              </w:rPr>
              <w:t>期限</w:t>
            </w:r>
          </w:p>
        </w:tc>
        <w:tc>
          <w:tcPr>
            <w:tcW w:w="3522" w:type="pct"/>
            <w:vAlign w:val="center"/>
          </w:tcPr>
          <w:p w14:paraId="25E0D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3" w:firstLineChars="0"/>
              <w:jc w:val="left"/>
              <w:textAlignment w:val="auto"/>
              <w:rPr>
                <w:rFonts w:hint="default" w:ascii="宋体" w:hAnsi="宋体" w:eastAsia="宋体"/>
                <w:b/>
                <w:bCs w:val="0"/>
                <w:color w:val="auto"/>
                <w:kern w:val="0"/>
                <w:sz w:val="24"/>
                <w:szCs w:val="28"/>
                <w:highlight w:val="none"/>
                <w:lang w:val="en-US" w:eastAsia="zh-CN"/>
              </w:rPr>
            </w:pPr>
            <w:r>
              <w:rPr>
                <w:rFonts w:hint="eastAsia" w:ascii="宋体" w:hAnsi="宋体" w:eastAsia="宋体" w:cs="宋体"/>
                <w:b/>
                <w:bCs w:val="0"/>
                <w:color w:val="auto"/>
                <w:kern w:val="2"/>
                <w:sz w:val="24"/>
                <w:szCs w:val="24"/>
                <w:highlight w:val="none"/>
                <w:lang w:val="en-US" w:eastAsia="zh-CN" w:bidi="ar"/>
              </w:rPr>
              <w:t>三年，合同一年一签。</w:t>
            </w:r>
          </w:p>
        </w:tc>
      </w:tr>
    </w:tbl>
    <w:p w14:paraId="46376D0C">
      <w:pPr>
        <w:keepNext w:val="0"/>
        <w:keepLines w:val="0"/>
        <w:pageBreakBefore w:val="0"/>
        <w:numPr>
          <w:ilvl w:val="0"/>
          <w:numId w:val="0"/>
        </w:numPr>
        <w:kinsoku/>
        <w:wordWrap/>
        <w:overflowPunct/>
        <w:topLinePunct w:val="0"/>
        <w:autoSpaceDN/>
        <w:bidi w:val="0"/>
        <w:adjustRightInd/>
        <w:snapToGrid/>
        <w:spacing w:line="420" w:lineRule="exact"/>
        <w:ind w:firstLine="482" w:firstLineChars="200"/>
        <w:textAlignment w:val="auto"/>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二、</w:t>
      </w:r>
      <w:bookmarkStart w:id="52" w:name="OLE_LINK7"/>
      <w:bookmarkStart w:id="53" w:name="OLE_LINK6"/>
      <w:bookmarkStart w:id="54" w:name="OLE_LINK5"/>
      <w:bookmarkStart w:id="55" w:name="OLE_LINK8"/>
      <w:r>
        <w:rPr>
          <w:rFonts w:hint="eastAsia" w:ascii="宋体" w:hAnsi="宋体" w:eastAsia="宋体"/>
          <w:b/>
          <w:color w:val="auto"/>
          <w:sz w:val="24"/>
          <w:szCs w:val="18"/>
          <w:highlight w:val="none"/>
          <w:lang w:val="en-US" w:eastAsia="zh-CN"/>
        </w:rPr>
        <w:t>项目服务内容及要求</w:t>
      </w:r>
    </w:p>
    <w:bookmarkEnd w:id="52"/>
    <w:bookmarkEnd w:id="53"/>
    <w:bookmarkEnd w:id="54"/>
    <w:bookmarkEnd w:id="55"/>
    <w:p w14:paraId="7B13D0FE">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bookmarkStart w:id="56" w:name="_Toc10346"/>
      <w:r>
        <w:rPr>
          <w:rFonts w:hint="eastAsia" w:ascii="宋体" w:hAnsi="宋体" w:eastAsia="宋体" w:cs="宋体"/>
          <w:color w:val="auto"/>
          <w:kern w:val="2"/>
          <w:sz w:val="24"/>
          <w:szCs w:val="24"/>
          <w:highlight w:val="none"/>
          <w:lang w:val="en-US" w:eastAsia="zh-CN" w:bidi="ar"/>
        </w:rPr>
        <w:t>1、使用后未被污染的输液瓶（袋）和透析壶。使用后未被污染的输液瓶（袋）和透析壶：是指在医疗卫生机构使用后未被患者血液、体液、排泄物污染的各种玻璃瓶（一次性塑料）输液瓶（袋），血透室用透析壶等。因抗生素使用控制等多种风险因素均会影响该项目回收量，回收量变化情况请自行衡量并自担风险，中标后不得以回收量变化等任何原因不履行合同，院方不承担任何回收量波动变化有关的责任。</w:t>
      </w:r>
    </w:p>
    <w:p w14:paraId="53558740">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2、中标人需无条件服从院方的工作安排，随叫随到，做到每日清理我院输液瓶（袋）和透析壶等，日产日清，特殊科室按科室要求随时清运。</w:t>
      </w:r>
      <w:r>
        <w:rPr>
          <w:rFonts w:hint="eastAsia" w:ascii="宋体" w:hAnsi="宋体" w:eastAsia="宋体" w:cs="宋体"/>
          <w:b/>
          <w:bCs/>
          <w:color w:val="auto"/>
          <w:kern w:val="2"/>
          <w:sz w:val="24"/>
          <w:szCs w:val="24"/>
          <w:highlight w:val="none"/>
          <w:lang w:val="en-US" w:eastAsia="zh-CN" w:bidi="ar"/>
        </w:rPr>
        <w:t>（注：各院区需中标人自行安排人力前往各个科室收集运送）</w:t>
      </w:r>
    </w:p>
    <w:p w14:paraId="0A9D055B">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次招标服务期3年，合同一年一签，如未按照我院要求出现违规或不服从工作安排、同一类型问题三次以上投诉且未整改等情况（投诉包括各科室微信群投诉、电话向总务科院部投诉、纸质投诉等均可作为投诉依据），院方有权立即终止合同。</w:t>
      </w:r>
    </w:p>
    <w:p w14:paraId="66139DBA">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完成五个院区回收项目所需要的人力（包括从各个科室回收运送至我院暂存点（部分院区无暂存点），直至运送达最终目的地全过程中的人力环节）、物力和财力等一切所需费用均由中标单位承担（人力问题自行解决）。中标人自行准备收集工具，不得使用原有塑料袋及医用垃圾塑料袋。</w:t>
      </w:r>
    </w:p>
    <w:p w14:paraId="754D48B2">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4、各潜在投标人投标前充分调研考虑各院区、各科室的使用量、回收量以及其他所有风险因素，中标后如拒绝履约的，以后不得参加院方任何投标项目。</w:t>
      </w:r>
    </w:p>
    <w:p w14:paraId="1C1F0F34">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双方工作人员需做好转运所有交接签收记录，记录内容包括转运种类、转运重量、交接时间、双方经办人签名等，乙方填写回收记录册（本）登记建档，按年度汇总并提交甲方核对，相关记录保存三年以便相关上级部门检查！如检查出现交接、流失等任何问题，一切责任均由中标方承担院方不承担任何责任并保留追诉的权利。</w:t>
      </w:r>
    </w:p>
    <w:p w14:paraId="754061F3">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6、具备履约所需的回收、运输、处理等专业能力和科学制度体系，回收的输液瓶等塑料制品不得用于医药、食品、化妆品、玩具等可能危害人体健康的行业，回收废物处理、再生利用溯源机制完整。</w:t>
      </w:r>
    </w:p>
    <w:p w14:paraId="03487FE4">
      <w:pPr>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420" w:lineRule="exact"/>
        <w:ind w:left="584" w:right="0"/>
        <w:jc w:val="left"/>
        <w:textAlignment w:val="auto"/>
        <w:rPr>
          <w:rFonts w:hint="eastAsia" w:ascii="宋体" w:hAnsi="宋体" w:eastAsia="宋体" w:cs="宋体"/>
          <w:bCs/>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注：投标人须对以上内容自行承诺，承诺函格式自拟。</w:t>
      </w:r>
    </w:p>
    <w:p w14:paraId="202AAAF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20" w:lineRule="exact"/>
        <w:ind w:left="0" w:right="-92" w:rightChars="-44" w:firstLine="482" w:firstLineChars="200"/>
        <w:jc w:val="both"/>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7、如投标人为外省企业，中标后须依照《中华人民共和国固体废物污染环境防治法》第二十二条及《安徽省实施〈中华人民共和国固体废物污染环境防治法〉办法》第十六条规定配合完成相应的跨省手续，对回收物转移出安徽省行政区域的行为分别办理相应法定手续：转移出安徽省行政区域贮存、处置的，应向生态环境主管部门提出申请，经批准后实施；转移出安徽省行政区域利用的，应向生态环境主管部门办理备案；中标人须在相应法定手续办结之后方可开展回收工作，服务期相应顺延，自手续完成之日起计算；若因中标人自身原因导致无法办理相应手续的，本合同不生效，不产生法律效力，采购人有权重新组织采购活动。</w:t>
      </w:r>
    </w:p>
    <w:p w14:paraId="069A28C6">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b/>
          <w:bCs/>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8、投标人须在当地主管部门公布的“输液瓶（袋）回收利用企业名单”中</w:t>
      </w:r>
      <w:r>
        <w:rPr>
          <w:rFonts w:hint="eastAsia" w:ascii="宋体" w:hAnsi="宋体" w:eastAsia="宋体" w:cs="宋体"/>
          <w:b/>
          <w:bCs/>
          <w:color w:val="auto"/>
          <w:kern w:val="2"/>
          <w:sz w:val="24"/>
          <w:szCs w:val="24"/>
          <w:highlight w:val="none"/>
          <w:lang w:val="en-US" w:eastAsia="zh-CN" w:bidi="ar"/>
        </w:rPr>
        <w:t>（投标时提供官网截图及名单）</w:t>
      </w:r>
    </w:p>
    <w:p w14:paraId="343C3947">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b/>
          <w:bCs/>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9、近3年（投标截止日往前追溯36个月），投标人在其所在地市生态环境、卫生健康、市场监管等与涉医再生资源回收、处置相关的领域，被市级及以上行政主管部门处以没收违法所得、责令停产停业、吊销经营许可证、单次5万元及以上数额罚款等重大行政处罚的，不得参与本项目投标</w:t>
      </w:r>
      <w:r>
        <w:rPr>
          <w:rFonts w:hint="eastAsia" w:ascii="宋体" w:hAnsi="宋体" w:eastAsia="宋体" w:cs="宋体"/>
          <w:b/>
          <w:bCs/>
          <w:color w:val="auto"/>
          <w:kern w:val="2"/>
          <w:sz w:val="24"/>
          <w:szCs w:val="24"/>
          <w:highlight w:val="none"/>
          <w:lang w:val="en-US" w:eastAsia="zh-CN" w:bidi="ar"/>
        </w:rPr>
        <w:t>（投标时需提供未被处罚承诺书）</w:t>
      </w:r>
    </w:p>
    <w:p w14:paraId="52D9F081">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10、投标人具备满足本项目回收量的经营场所</w:t>
      </w:r>
      <w:r>
        <w:rPr>
          <w:rFonts w:hint="eastAsia" w:ascii="宋体" w:hAnsi="宋体" w:eastAsia="宋体" w:cs="宋体"/>
          <w:b/>
          <w:bCs/>
          <w:color w:val="auto"/>
          <w:kern w:val="2"/>
          <w:sz w:val="24"/>
          <w:szCs w:val="24"/>
          <w:highlight w:val="none"/>
          <w:lang w:val="en-US" w:eastAsia="zh-CN" w:bidi="ar"/>
        </w:rPr>
        <w:t>（投标时须提供图片、自有产证或租赁合同相关证明材料）</w:t>
      </w:r>
      <w:r>
        <w:rPr>
          <w:rFonts w:hint="eastAsia" w:ascii="宋体" w:hAnsi="宋体" w:eastAsia="宋体" w:cs="宋体"/>
          <w:color w:val="auto"/>
          <w:kern w:val="2"/>
          <w:sz w:val="24"/>
          <w:szCs w:val="24"/>
          <w:highlight w:val="none"/>
          <w:lang w:val="en-US" w:eastAsia="zh-CN" w:bidi="ar"/>
        </w:rPr>
        <w:t>以及联系人、联系方式、办公地点。</w:t>
      </w:r>
    </w:p>
    <w:p w14:paraId="07BC2D88">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0" w:firstLine="43"/>
        <w:jc w:val="both"/>
        <w:textAlignment w:val="auto"/>
        <w:outlineLvl w:val="1"/>
        <w:rPr>
          <w:rFonts w:hint="eastAsia" w:ascii="宋体" w:hAnsi="宋体" w:eastAsia="宋体" w:cs="@仿宋_GB2312"/>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三、报价要求</w:t>
      </w:r>
    </w:p>
    <w:p w14:paraId="14E6B42D">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92" w:rightChars="-44" w:firstLine="460" w:firstLineChars="192"/>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供应商报价文件中的单价和总价全部采用人民币表示。供应商的报价应含有货物（服务）、利润、税金、政策性文件规定及合同包含的所有风险、责任、义务等，即为完成采购文件要求的服务内容所包含的一切应有费用，中标价格今后将不作任何调整，供应商自行考虑报价风险。</w:t>
      </w:r>
    </w:p>
    <w:p w14:paraId="2E67567D">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2.如响应文件中未列明全面实现投标服务功能而必须配置的配套或辅助设施及相应技术措施的费用，这些费用将被视为已包含在总报价中。</w:t>
      </w:r>
    </w:p>
    <w:p w14:paraId="26B0C1E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 w:val="24"/>
          <w:szCs w:val="24"/>
          <w:highlight w:val="none"/>
        </w:rPr>
      </w:pPr>
    </w:p>
    <w:p w14:paraId="7D1744A7">
      <w:pPr>
        <w:spacing w:line="360" w:lineRule="auto"/>
        <w:jc w:val="center"/>
        <w:outlineLvl w:val="0"/>
        <w:rPr>
          <w:rFonts w:hint="eastAsia" w:asciiTheme="minorEastAsia" w:hAnsiTheme="minorEastAsia" w:eastAsiaTheme="minorEastAsia"/>
          <w:b/>
          <w:color w:val="auto"/>
          <w:sz w:val="28"/>
          <w:highlight w:val="none"/>
        </w:rPr>
      </w:pPr>
    </w:p>
    <w:p w14:paraId="2DEA30C0">
      <w:pPr>
        <w:pStyle w:val="2"/>
        <w:rPr>
          <w:rFonts w:hint="eastAsia" w:asciiTheme="minorEastAsia" w:hAnsiTheme="minorEastAsia" w:eastAsiaTheme="minorEastAsia"/>
          <w:b/>
          <w:color w:val="auto"/>
          <w:sz w:val="28"/>
          <w:highlight w:val="none"/>
        </w:rPr>
      </w:pPr>
    </w:p>
    <w:p w14:paraId="2CB7C654">
      <w:pPr>
        <w:pStyle w:val="2"/>
        <w:rPr>
          <w:rFonts w:hint="eastAsia" w:asciiTheme="minorEastAsia" w:hAnsiTheme="minorEastAsia" w:eastAsiaTheme="minorEastAsia"/>
          <w:b/>
          <w:color w:val="auto"/>
          <w:sz w:val="28"/>
          <w:highlight w:val="none"/>
        </w:rPr>
      </w:pPr>
    </w:p>
    <w:p w14:paraId="55AA0C79">
      <w:pPr>
        <w:pStyle w:val="2"/>
        <w:rPr>
          <w:rFonts w:hint="eastAsia" w:asciiTheme="minorEastAsia" w:hAnsiTheme="minorEastAsia" w:eastAsiaTheme="minorEastAsia"/>
          <w:b/>
          <w:color w:val="auto"/>
          <w:sz w:val="28"/>
          <w:highlight w:val="none"/>
        </w:rPr>
      </w:pPr>
    </w:p>
    <w:p w14:paraId="057A5151">
      <w:pPr>
        <w:pStyle w:val="2"/>
        <w:rPr>
          <w:rFonts w:hint="eastAsia" w:asciiTheme="minorEastAsia" w:hAnsiTheme="minorEastAsia" w:eastAsiaTheme="minorEastAsia"/>
          <w:b/>
          <w:color w:val="auto"/>
          <w:sz w:val="28"/>
          <w:highlight w:val="none"/>
        </w:rPr>
      </w:pPr>
    </w:p>
    <w:p w14:paraId="6F56568D">
      <w:pPr>
        <w:pStyle w:val="2"/>
        <w:rPr>
          <w:rFonts w:hint="eastAsia" w:asciiTheme="minorEastAsia" w:hAnsiTheme="minorEastAsia" w:eastAsiaTheme="minorEastAsia"/>
          <w:b/>
          <w:color w:val="auto"/>
          <w:sz w:val="28"/>
          <w:highlight w:val="none"/>
        </w:rPr>
      </w:pPr>
    </w:p>
    <w:p w14:paraId="512D1D7F">
      <w:pPr>
        <w:pStyle w:val="2"/>
        <w:rPr>
          <w:rFonts w:hint="eastAsia" w:asciiTheme="minorEastAsia" w:hAnsiTheme="minorEastAsia" w:eastAsiaTheme="minorEastAsia"/>
          <w:b/>
          <w:color w:val="auto"/>
          <w:sz w:val="28"/>
          <w:highlight w:val="none"/>
        </w:rPr>
      </w:pPr>
    </w:p>
    <w:p w14:paraId="046CC902">
      <w:pPr>
        <w:pStyle w:val="2"/>
        <w:rPr>
          <w:rFonts w:hint="eastAsia" w:asciiTheme="minorEastAsia" w:hAnsiTheme="minorEastAsia" w:eastAsiaTheme="minorEastAsia"/>
          <w:b/>
          <w:color w:val="auto"/>
          <w:sz w:val="28"/>
          <w:highlight w:val="none"/>
        </w:rPr>
      </w:pPr>
    </w:p>
    <w:p w14:paraId="6AC97785">
      <w:pPr>
        <w:pStyle w:val="2"/>
        <w:rPr>
          <w:rFonts w:hint="eastAsia" w:asciiTheme="minorEastAsia" w:hAnsiTheme="minorEastAsia" w:eastAsiaTheme="minorEastAsia"/>
          <w:b/>
          <w:color w:val="auto"/>
          <w:sz w:val="28"/>
          <w:highlight w:val="none"/>
        </w:rPr>
      </w:pPr>
    </w:p>
    <w:p w14:paraId="339666F7">
      <w:pPr>
        <w:pStyle w:val="2"/>
        <w:rPr>
          <w:rFonts w:hint="eastAsia" w:asciiTheme="minorEastAsia" w:hAnsiTheme="minorEastAsia" w:eastAsiaTheme="minorEastAsia"/>
          <w:b/>
          <w:color w:val="auto"/>
          <w:sz w:val="28"/>
          <w:highlight w:val="none"/>
        </w:rPr>
      </w:pPr>
    </w:p>
    <w:p w14:paraId="7E386CE1">
      <w:pPr>
        <w:pStyle w:val="2"/>
        <w:rPr>
          <w:rFonts w:hint="eastAsia" w:asciiTheme="minorEastAsia" w:hAnsiTheme="minorEastAsia" w:eastAsiaTheme="minorEastAsia"/>
          <w:b/>
          <w:color w:val="auto"/>
          <w:sz w:val="28"/>
          <w:highlight w:val="none"/>
        </w:rPr>
      </w:pPr>
    </w:p>
    <w:p w14:paraId="08BD047D">
      <w:pPr>
        <w:pStyle w:val="2"/>
        <w:rPr>
          <w:rFonts w:hint="eastAsia" w:asciiTheme="minorEastAsia" w:hAnsiTheme="minorEastAsia" w:eastAsiaTheme="minorEastAsia"/>
          <w:b/>
          <w:color w:val="auto"/>
          <w:sz w:val="28"/>
          <w:highlight w:val="none"/>
        </w:rPr>
      </w:pPr>
    </w:p>
    <w:p w14:paraId="12456FD4">
      <w:pPr>
        <w:pStyle w:val="2"/>
        <w:rPr>
          <w:rFonts w:hint="eastAsia" w:asciiTheme="minorEastAsia" w:hAnsiTheme="minorEastAsia" w:eastAsiaTheme="minorEastAsia"/>
          <w:b/>
          <w:color w:val="auto"/>
          <w:sz w:val="28"/>
          <w:highlight w:val="none"/>
        </w:rPr>
      </w:pPr>
    </w:p>
    <w:p w14:paraId="32212928">
      <w:pPr>
        <w:pStyle w:val="2"/>
        <w:rPr>
          <w:rFonts w:hint="eastAsia" w:asciiTheme="minorEastAsia" w:hAnsiTheme="minorEastAsia" w:eastAsiaTheme="minorEastAsia"/>
          <w:b/>
          <w:color w:val="auto"/>
          <w:sz w:val="28"/>
          <w:highlight w:val="none"/>
        </w:rPr>
      </w:pPr>
    </w:p>
    <w:p w14:paraId="4E7E7415">
      <w:pPr>
        <w:pStyle w:val="2"/>
        <w:rPr>
          <w:rFonts w:hint="eastAsia" w:asciiTheme="minorEastAsia" w:hAnsiTheme="minorEastAsia" w:eastAsiaTheme="minorEastAsia"/>
          <w:b/>
          <w:color w:val="auto"/>
          <w:sz w:val="28"/>
          <w:highlight w:val="none"/>
        </w:rPr>
      </w:pPr>
    </w:p>
    <w:p w14:paraId="40059B7C">
      <w:pPr>
        <w:pStyle w:val="2"/>
        <w:rPr>
          <w:rFonts w:hint="eastAsia" w:asciiTheme="minorEastAsia" w:hAnsiTheme="minorEastAsia" w:eastAsiaTheme="minorEastAsia"/>
          <w:b/>
          <w:color w:val="auto"/>
          <w:sz w:val="28"/>
          <w:highlight w:val="none"/>
        </w:rPr>
      </w:pPr>
    </w:p>
    <w:p w14:paraId="21F2F446">
      <w:pPr>
        <w:pStyle w:val="2"/>
        <w:rPr>
          <w:rFonts w:hint="eastAsia" w:asciiTheme="minorEastAsia" w:hAnsiTheme="minorEastAsia" w:eastAsiaTheme="minorEastAsia"/>
          <w:b/>
          <w:color w:val="auto"/>
          <w:sz w:val="28"/>
          <w:highlight w:val="none"/>
        </w:rPr>
      </w:pPr>
    </w:p>
    <w:p w14:paraId="7037E272">
      <w:pPr>
        <w:pStyle w:val="2"/>
        <w:rPr>
          <w:rFonts w:hint="eastAsia" w:asciiTheme="minorEastAsia" w:hAnsiTheme="minorEastAsia" w:eastAsiaTheme="minorEastAsia"/>
          <w:b/>
          <w:color w:val="auto"/>
          <w:sz w:val="28"/>
          <w:highlight w:val="none"/>
        </w:rPr>
      </w:pPr>
      <w:bookmarkStart w:id="139" w:name="_GoBack"/>
      <w:bookmarkEnd w:id="139"/>
    </w:p>
    <w:p w14:paraId="04D8B59F">
      <w:pPr>
        <w:spacing w:line="360" w:lineRule="auto"/>
        <w:jc w:val="center"/>
        <w:outlineLvl w:val="0"/>
        <w:rPr>
          <w:rFonts w:hint="eastAsia" w:asciiTheme="minorEastAsia" w:hAnsiTheme="minorEastAsia" w:eastAsiaTheme="minorEastAsia"/>
          <w:b/>
          <w:color w:val="auto"/>
          <w:sz w:val="28"/>
          <w:highlight w:val="none"/>
        </w:rPr>
      </w:pPr>
    </w:p>
    <w:p w14:paraId="61520DAC">
      <w:pPr>
        <w:spacing w:line="360" w:lineRule="auto"/>
        <w:jc w:val="center"/>
        <w:outlineLvl w:val="0"/>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评标方法和标准（最</w:t>
      </w:r>
      <w:r>
        <w:rPr>
          <w:rFonts w:hint="eastAsia" w:asciiTheme="minorEastAsia" w:hAnsiTheme="minorEastAsia" w:eastAsiaTheme="minorEastAsia"/>
          <w:b/>
          <w:color w:val="auto"/>
          <w:sz w:val="28"/>
          <w:highlight w:val="none"/>
          <w:lang w:val="en-US" w:eastAsia="zh-CN"/>
        </w:rPr>
        <w:t>高</w:t>
      </w:r>
      <w:r>
        <w:rPr>
          <w:rFonts w:hint="eastAsia" w:asciiTheme="minorEastAsia" w:hAnsiTheme="minorEastAsia" w:eastAsiaTheme="minorEastAsia"/>
          <w:b/>
          <w:color w:val="auto"/>
          <w:sz w:val="28"/>
          <w:highlight w:val="none"/>
        </w:rPr>
        <w:t>评标价法）</w:t>
      </w:r>
      <w:bookmarkEnd w:id="56"/>
    </w:p>
    <w:p w14:paraId="23E36790">
      <w:pPr>
        <w:spacing w:line="360" w:lineRule="auto"/>
        <w:ind w:firstLine="437"/>
        <w:outlineLvl w:val="1"/>
        <w:rPr>
          <w:rFonts w:hint="eastAsia" w:asciiTheme="minorEastAsia" w:hAnsiTheme="minorEastAsia" w:eastAsiaTheme="minorEastAsia"/>
          <w:b/>
          <w:color w:val="auto"/>
          <w:sz w:val="24"/>
          <w:highlight w:val="none"/>
        </w:rPr>
      </w:pPr>
      <w:bookmarkStart w:id="57" w:name="_Toc6560"/>
      <w:bookmarkStart w:id="58" w:name="_Toc3321"/>
      <w:bookmarkStart w:id="59" w:name="_Toc22115"/>
      <w:r>
        <w:rPr>
          <w:rFonts w:hint="eastAsia" w:asciiTheme="minorEastAsia" w:hAnsiTheme="minorEastAsia" w:eastAsiaTheme="minorEastAsia"/>
          <w:b/>
          <w:color w:val="auto"/>
          <w:sz w:val="24"/>
          <w:highlight w:val="none"/>
        </w:rPr>
        <w:t>一、总则</w:t>
      </w:r>
      <w:bookmarkEnd w:id="57"/>
      <w:bookmarkEnd w:id="58"/>
      <w:bookmarkEnd w:id="59"/>
    </w:p>
    <w:p w14:paraId="6608BE4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78778D44">
      <w:pPr>
        <w:spacing w:line="360" w:lineRule="auto"/>
        <w:ind w:firstLine="437"/>
        <w:outlineLvl w:val="1"/>
        <w:rPr>
          <w:rFonts w:hint="eastAsia" w:asciiTheme="minorEastAsia" w:hAnsiTheme="minorEastAsia" w:eastAsiaTheme="minorEastAsia"/>
          <w:b/>
          <w:color w:val="auto"/>
          <w:sz w:val="24"/>
          <w:highlight w:val="none"/>
        </w:rPr>
      </w:pPr>
      <w:bookmarkStart w:id="60" w:name="_Toc32350"/>
      <w:bookmarkStart w:id="61" w:name="_Toc27343"/>
      <w:bookmarkStart w:id="62" w:name="_Toc28533"/>
      <w:r>
        <w:rPr>
          <w:rFonts w:hint="eastAsia" w:asciiTheme="minorEastAsia" w:hAnsiTheme="minorEastAsia" w:eastAsiaTheme="minorEastAsia"/>
          <w:b/>
          <w:color w:val="auto"/>
          <w:sz w:val="24"/>
          <w:highlight w:val="none"/>
        </w:rPr>
        <w:t>二、评标方法</w:t>
      </w:r>
      <w:bookmarkEnd w:id="60"/>
      <w:bookmarkEnd w:id="61"/>
      <w:bookmarkEnd w:id="62"/>
    </w:p>
    <w:p w14:paraId="1D7358C0">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6"/>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632"/>
        <w:gridCol w:w="4234"/>
        <w:gridCol w:w="2177"/>
      </w:tblGrid>
      <w:tr w14:paraId="11C4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000" w:type="pct"/>
            <w:gridSpan w:val="4"/>
            <w:tcBorders>
              <w:bottom w:val="single" w:color="auto" w:sz="4" w:space="0"/>
            </w:tcBorders>
            <w:vAlign w:val="center"/>
          </w:tcPr>
          <w:p w14:paraId="6D2078B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b/>
                <w:color w:val="auto"/>
                <w:sz w:val="24"/>
                <w:szCs w:val="22"/>
                <w:highlight w:val="none"/>
              </w:rPr>
              <w:t>资格审查表</w:t>
            </w:r>
          </w:p>
        </w:tc>
      </w:tr>
      <w:tr w14:paraId="5C7B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67" w:type="pct"/>
            <w:tcBorders>
              <w:bottom w:val="single" w:color="auto" w:sz="4" w:space="0"/>
            </w:tcBorders>
            <w:vAlign w:val="center"/>
          </w:tcPr>
          <w:p w14:paraId="27ACA2A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940" w:type="pct"/>
            <w:tcBorders>
              <w:bottom w:val="single" w:color="auto" w:sz="4" w:space="0"/>
            </w:tcBorders>
            <w:vAlign w:val="center"/>
          </w:tcPr>
          <w:p w14:paraId="24E7D5C1">
            <w:pPr>
              <w:pStyle w:val="45"/>
              <w:keepNext w:val="0"/>
              <w:keepLines w:val="0"/>
              <w:pageBreakBefore w:val="0"/>
              <w:widowControl w:val="0"/>
              <w:suppressLineNumbers w:val="0"/>
              <w:pBdr>
                <w:bottom w:val="none" w:color="auto" w:sz="0" w:space="0"/>
              </w:pBdr>
              <w:tabs>
                <w:tab w:val="clear" w:pos="4153"/>
                <w:tab w:val="clear" w:pos="8306"/>
              </w:tabs>
              <w:kinsoku/>
              <w:overflowPunct/>
              <w:topLinePunct w:val="0"/>
              <w:autoSpaceDE/>
              <w:autoSpaceDN/>
              <w:bidi w:val="0"/>
              <w:snapToGrid w:val="0"/>
              <w:spacing w:before="0" w:beforeAutospacing="0" w:after="0" w:afterAutospacing="0" w:line="240" w:lineRule="auto"/>
              <w:ind w:left="0" w:right="-10"/>
              <w:textAlignment w:val="auto"/>
              <w:rPr>
                <w:rFonts w:hint="eastAsia"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439" w:type="pct"/>
            <w:tcBorders>
              <w:bottom w:val="single" w:color="auto" w:sz="4" w:space="0"/>
            </w:tcBorders>
            <w:vAlign w:val="center"/>
          </w:tcPr>
          <w:p w14:paraId="6D0009B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审查标准</w:t>
            </w:r>
          </w:p>
        </w:tc>
        <w:tc>
          <w:tcPr>
            <w:tcW w:w="1253" w:type="pct"/>
            <w:tcBorders>
              <w:bottom w:val="single" w:color="auto" w:sz="4" w:space="0"/>
            </w:tcBorders>
            <w:vAlign w:val="center"/>
          </w:tcPr>
          <w:p w14:paraId="358222C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6C06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67" w:type="pct"/>
            <w:tcBorders>
              <w:bottom w:val="single" w:color="auto" w:sz="4" w:space="0"/>
            </w:tcBorders>
            <w:vAlign w:val="center"/>
          </w:tcPr>
          <w:p w14:paraId="1A766F4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940" w:type="pct"/>
            <w:tcBorders>
              <w:bottom w:val="single" w:color="auto" w:sz="4" w:space="0"/>
            </w:tcBorders>
            <w:shd w:val="clear" w:color="auto" w:fill="auto"/>
            <w:vAlign w:val="center"/>
          </w:tcPr>
          <w:p w14:paraId="4C982DFE">
            <w:pPr>
              <w:keepNext w:val="0"/>
              <w:keepLines w:val="0"/>
              <w:pageBreakBefore w:val="0"/>
              <w:widowControl w:val="0"/>
              <w:suppressLineNumbers w:val="0"/>
              <w:kinsoku/>
              <w:overflowPunct/>
              <w:topLinePunct w:val="0"/>
              <w:autoSpaceDE/>
              <w:autoSpaceDN/>
              <w:bidi w:val="0"/>
              <w:spacing w:before="0" w:beforeAutospacing="0" w:after="50" w:afterAutospacing="0" w:line="240" w:lineRule="auto"/>
              <w:ind w:left="0" w:leftChars="0" w:right="-10" w:rightChars="0"/>
              <w:jc w:val="center"/>
              <w:textAlignment w:val="auto"/>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olor w:val="auto"/>
                <w:sz w:val="24"/>
                <w:szCs w:val="18"/>
                <w:highlight w:val="none"/>
              </w:rPr>
              <w:t>投标人资格声明书</w:t>
            </w:r>
          </w:p>
        </w:tc>
        <w:tc>
          <w:tcPr>
            <w:tcW w:w="2439" w:type="pct"/>
            <w:tcBorders>
              <w:bottom w:val="single" w:color="auto" w:sz="4" w:space="0"/>
            </w:tcBorders>
            <w:shd w:val="clear" w:color="auto" w:fill="auto"/>
            <w:vAlign w:val="center"/>
          </w:tcPr>
          <w:p w14:paraId="14F4B869">
            <w:pPr>
              <w:keepNext w:val="0"/>
              <w:keepLines w:val="0"/>
              <w:pageBreakBefore w:val="0"/>
              <w:widowControl w:val="0"/>
              <w:suppressLineNumbers w:val="0"/>
              <w:kinsoku/>
              <w:overflowPunct/>
              <w:topLinePunct w:val="0"/>
              <w:autoSpaceDE/>
              <w:autoSpaceDN/>
              <w:bidi w:val="0"/>
              <w:spacing w:before="0" w:beforeAutospacing="0" w:after="50" w:afterAutospacing="0" w:line="240" w:lineRule="auto"/>
              <w:ind w:left="0" w:leftChars="0" w:right="-10" w:rightChars="0"/>
              <w:jc w:val="left"/>
              <w:textAlignment w:val="auto"/>
              <w:rPr>
                <w:rFonts w:hint="eastAsia"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253" w:type="pct"/>
            <w:shd w:val="clear" w:color="auto" w:fill="auto"/>
            <w:vAlign w:val="center"/>
          </w:tcPr>
          <w:p w14:paraId="1511EEE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详见第六章投标文件格式</w:t>
            </w:r>
          </w:p>
        </w:tc>
      </w:tr>
      <w:tr w14:paraId="461B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367" w:type="pct"/>
            <w:tcBorders>
              <w:bottom w:val="single" w:color="auto" w:sz="4" w:space="0"/>
            </w:tcBorders>
            <w:vAlign w:val="center"/>
          </w:tcPr>
          <w:p w14:paraId="42629C2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940" w:type="pct"/>
            <w:tcBorders>
              <w:bottom w:val="single" w:color="auto" w:sz="4" w:space="0"/>
            </w:tcBorders>
            <w:shd w:val="clear" w:color="auto" w:fill="auto"/>
            <w:vAlign w:val="center"/>
          </w:tcPr>
          <w:p w14:paraId="5C0CD8EF">
            <w:pPr>
              <w:keepNext w:val="0"/>
              <w:keepLines w:val="0"/>
              <w:pageBreakBefore w:val="0"/>
              <w:widowControl w:val="0"/>
              <w:suppressLineNumbers w:val="0"/>
              <w:kinsoku/>
              <w:overflowPunct/>
              <w:topLinePunct w:val="0"/>
              <w:autoSpaceDE/>
              <w:autoSpaceDN/>
              <w:bidi w:val="0"/>
              <w:spacing w:before="0" w:beforeAutospacing="0" w:after="50" w:afterAutospacing="0" w:line="240" w:lineRule="auto"/>
              <w:ind w:left="0" w:leftChars="0" w:right="-10" w:rightChars="0"/>
              <w:jc w:val="center"/>
              <w:textAlignment w:val="auto"/>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olor w:val="auto"/>
                <w:sz w:val="24"/>
                <w:szCs w:val="18"/>
                <w:highlight w:val="none"/>
              </w:rPr>
              <w:t>投标人信用记录</w:t>
            </w:r>
          </w:p>
        </w:tc>
        <w:tc>
          <w:tcPr>
            <w:tcW w:w="2439" w:type="pct"/>
            <w:tcBorders>
              <w:bottom w:val="single" w:color="auto" w:sz="4" w:space="0"/>
            </w:tcBorders>
            <w:shd w:val="clear" w:color="auto" w:fill="auto"/>
            <w:vAlign w:val="center"/>
          </w:tcPr>
          <w:p w14:paraId="73EB2A14">
            <w:pPr>
              <w:keepNext w:val="0"/>
              <w:keepLines w:val="0"/>
              <w:pageBreakBefore w:val="0"/>
              <w:widowControl w:val="0"/>
              <w:suppressLineNumbers w:val="0"/>
              <w:kinsoku/>
              <w:overflowPunct/>
              <w:topLinePunct w:val="0"/>
              <w:autoSpaceDE/>
              <w:autoSpaceDN/>
              <w:bidi w:val="0"/>
              <w:spacing w:before="0" w:beforeAutospacing="0" w:after="50" w:afterAutospacing="0" w:line="240" w:lineRule="auto"/>
              <w:ind w:left="0" w:leftChars="0" w:right="-10" w:rightChars="0"/>
              <w:jc w:val="left"/>
              <w:textAlignment w:val="auto"/>
              <w:rPr>
                <w:rFonts w:hint="eastAsia" w:ascii="@仿宋_GB2312" w:hAnsi="@仿宋_GB2312" w:eastAsia="@仿宋_GB2312" w:cs="@仿宋_GB2312"/>
                <w:color w:val="auto"/>
                <w:kern w:val="2"/>
                <w:sz w:val="21"/>
                <w:szCs w:val="20"/>
                <w:highlight w:val="none"/>
                <w:lang w:val="en-US" w:eastAsia="zh-CN" w:bidi="ar-SA"/>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b/>
                <w:bCs/>
                <w:color w:val="auto"/>
                <w:sz w:val="24"/>
                <w:szCs w:val="24"/>
                <w:highlight w:val="none"/>
                <w:lang w:bidi="ar"/>
              </w:rPr>
              <w:t>申请人的资格要求</w:t>
            </w:r>
            <w:r>
              <w:rPr>
                <w:rFonts w:hint="eastAsia" w:ascii="宋体" w:hAnsi="宋体" w:eastAsia="宋体" w:cs="宋体"/>
                <w:b/>
                <w:bCs/>
                <w:color w:val="auto"/>
                <w:sz w:val="24"/>
                <w:szCs w:val="24"/>
                <w:highlight w:val="none"/>
                <w:lang w:val="en-US" w:eastAsia="zh-CN" w:bidi="ar"/>
              </w:rPr>
              <w:t>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253" w:type="pct"/>
            <w:shd w:val="clear" w:color="auto" w:fill="auto"/>
            <w:vAlign w:val="center"/>
          </w:tcPr>
          <w:p w14:paraId="5876232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投标人提供诚信投标承诺书</w:t>
            </w:r>
            <w:r>
              <w:rPr>
                <w:rFonts w:hint="eastAsia" w:ascii="宋体" w:hAnsi="宋体" w:eastAsia="宋体" w:cs="宋体"/>
                <w:color w:val="auto"/>
                <w:sz w:val="24"/>
                <w:szCs w:val="24"/>
                <w:highlight w:val="none"/>
                <w:lang w:val="en-US" w:eastAsia="zh-CN"/>
              </w:rPr>
              <w:t>；</w:t>
            </w:r>
          </w:p>
          <w:p w14:paraId="410CA76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采购人或采购代理机构查询</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w:t>
            </w:r>
            <w:r>
              <w:rPr>
                <w:rFonts w:hint="eastAsia" w:ascii="宋体" w:hAnsi="宋体" w:eastAsia="宋体" w:cs="宋体"/>
                <w:color w:val="auto"/>
                <w:sz w:val="24"/>
                <w:szCs w:val="24"/>
                <w:highlight w:val="none"/>
                <w:lang w:val="en-US" w:eastAsia="zh-CN"/>
              </w:rPr>
              <w:t>情形</w:t>
            </w:r>
            <w:r>
              <w:rPr>
                <w:rFonts w:hint="eastAsia" w:ascii="宋体" w:hAnsi="宋体" w:eastAsia="宋体" w:cs="宋体"/>
                <w:color w:val="auto"/>
                <w:sz w:val="24"/>
                <w:szCs w:val="24"/>
                <w:highlight w:val="none"/>
              </w:rPr>
              <w:t>。</w:t>
            </w:r>
          </w:p>
        </w:tc>
      </w:tr>
      <w:tr w14:paraId="4A68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367" w:type="pct"/>
            <w:vAlign w:val="center"/>
          </w:tcPr>
          <w:p w14:paraId="1D7D9CD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940" w:type="pct"/>
            <w:shd w:val="clear" w:color="auto" w:fill="auto"/>
            <w:vAlign w:val="center"/>
          </w:tcPr>
          <w:p w14:paraId="76F7B4E8">
            <w:pPr>
              <w:keepNext w:val="0"/>
              <w:keepLines w:val="0"/>
              <w:pageBreakBefore w:val="0"/>
              <w:widowControl w:val="0"/>
              <w:suppressLineNumbers w:val="0"/>
              <w:kinsoku/>
              <w:overflowPunct/>
              <w:topLinePunct w:val="0"/>
              <w:autoSpaceDE/>
              <w:autoSpaceDN/>
              <w:bidi w:val="0"/>
              <w:spacing w:before="0" w:beforeAutospacing="0" w:after="50" w:afterAutospacing="0" w:line="240" w:lineRule="auto"/>
              <w:ind w:left="0" w:leftChars="0" w:right="-10" w:rightChars="0"/>
              <w:jc w:val="center"/>
              <w:textAlignment w:val="auto"/>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olor w:val="auto"/>
                <w:sz w:val="24"/>
                <w:szCs w:val="18"/>
                <w:highlight w:val="none"/>
              </w:rPr>
              <w:t>本项目的特定资格要求</w:t>
            </w:r>
          </w:p>
        </w:tc>
        <w:tc>
          <w:tcPr>
            <w:tcW w:w="2439" w:type="pct"/>
            <w:shd w:val="clear" w:color="auto" w:fill="auto"/>
            <w:vAlign w:val="center"/>
          </w:tcPr>
          <w:p w14:paraId="1881B6B9">
            <w:pPr>
              <w:keepNext w:val="0"/>
              <w:keepLines w:val="0"/>
              <w:pageBreakBefore w:val="0"/>
              <w:widowControl w:val="0"/>
              <w:suppressLineNumbers w:val="0"/>
              <w:kinsoku/>
              <w:overflowPunct/>
              <w:topLinePunct w:val="0"/>
              <w:autoSpaceDE/>
              <w:autoSpaceDN/>
              <w:bidi w:val="0"/>
              <w:spacing w:before="0" w:beforeAutospacing="0" w:after="50" w:afterAutospacing="0" w:line="240" w:lineRule="auto"/>
              <w:ind w:left="0" w:leftChars="0" w:right="-122" w:rightChars="0"/>
              <w:jc w:val="left"/>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sz w:val="24"/>
                <w:szCs w:val="24"/>
                <w:highlight w:val="none"/>
                <w:lang w:bidi="ar"/>
              </w:rPr>
              <w:t>①投标人具有环境保护部门对使用后未被污染输液瓶（袋）等塑料制品、玻璃输液瓶处置项目的环评审批、环保竣工验收资料及有效期内的排污许可证证明，</w:t>
            </w:r>
            <w:r>
              <w:rPr>
                <w:rFonts w:hint="eastAsia" w:ascii="宋体" w:hAnsi="宋体" w:eastAsia="宋体" w:cs="宋体"/>
                <w:color w:val="auto"/>
                <w:sz w:val="24"/>
                <w:szCs w:val="24"/>
                <w:highlight w:val="none"/>
                <w:lang w:val="en-US" w:eastAsia="zh-CN" w:bidi="ar"/>
              </w:rPr>
              <w:t>②</w:t>
            </w:r>
            <w:r>
              <w:rPr>
                <w:rFonts w:hint="eastAsia" w:ascii="宋体" w:hAnsi="宋体" w:eastAsia="宋体" w:cs="宋体"/>
                <w:color w:val="auto"/>
                <w:sz w:val="24"/>
                <w:szCs w:val="24"/>
                <w:highlight w:val="none"/>
                <w:lang w:bidi="ar"/>
              </w:rPr>
              <w:t>投标人具有有效期内的营业执照等资质证明。</w:t>
            </w:r>
          </w:p>
        </w:tc>
        <w:tc>
          <w:tcPr>
            <w:tcW w:w="1253" w:type="pct"/>
            <w:shd w:val="clear" w:color="auto" w:fill="auto"/>
            <w:vAlign w:val="center"/>
          </w:tcPr>
          <w:p w14:paraId="5F051FF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提供材料复印件加盖公章</w:t>
            </w:r>
          </w:p>
          <w:p w14:paraId="39FD10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p>
        </w:tc>
      </w:tr>
    </w:tbl>
    <w:p w14:paraId="3B0AB150">
      <w:pPr>
        <w:spacing w:line="360" w:lineRule="auto"/>
        <w:ind w:firstLine="435"/>
        <w:rPr>
          <w:rFonts w:hint="eastAsia" w:asciiTheme="minorEastAsia" w:hAnsiTheme="minorEastAsia" w:eastAsiaTheme="minorEastAsia"/>
          <w:color w:val="auto"/>
          <w:sz w:val="24"/>
          <w:highlight w:val="none"/>
        </w:rPr>
      </w:pPr>
      <w:bookmarkStart w:id="63"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63"/>
    <w:p w14:paraId="24410F56">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EF61A2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117"/>
        <w:gridCol w:w="3128"/>
        <w:gridCol w:w="2514"/>
      </w:tblGrid>
      <w:tr w14:paraId="48B3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52D31">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b/>
                <w:bCs/>
                <w:color w:val="auto"/>
                <w:sz w:val="24"/>
                <w:szCs w:val="20"/>
                <w:highlight w:val="none"/>
              </w:rPr>
            </w:pPr>
            <w:r>
              <w:rPr>
                <w:rFonts w:hint="eastAsia" w:ascii="宋体" w:hAnsi="宋体" w:eastAsia="宋体"/>
                <w:b/>
                <w:bCs/>
                <w:color w:val="auto"/>
                <w:sz w:val="24"/>
                <w:szCs w:val="20"/>
                <w:highlight w:val="none"/>
              </w:rPr>
              <w:t>符合性审查表</w:t>
            </w:r>
          </w:p>
        </w:tc>
      </w:tr>
      <w:tr w14:paraId="3A8E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8" w:type="pct"/>
            <w:tcBorders>
              <w:bottom w:val="single" w:color="auto" w:sz="4" w:space="0"/>
            </w:tcBorders>
            <w:vAlign w:val="center"/>
          </w:tcPr>
          <w:p w14:paraId="2D86A88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1242" w:type="pct"/>
            <w:tcBorders>
              <w:bottom w:val="single" w:color="auto" w:sz="4" w:space="0"/>
            </w:tcBorders>
            <w:vAlign w:val="center"/>
          </w:tcPr>
          <w:p w14:paraId="21FCCD7D">
            <w:pPr>
              <w:pStyle w:val="45"/>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eastAsia" w:ascii="宋体" w:hAnsi="宋体" w:eastAsia="宋体"/>
                <w:color w:val="auto"/>
                <w:kern w:val="2"/>
                <w:highlight w:val="none"/>
              </w:rPr>
            </w:pPr>
            <w:r>
              <w:rPr>
                <w:rFonts w:hint="eastAsia" w:ascii="宋体" w:hAnsi="宋体" w:eastAsia="宋体"/>
                <w:color w:val="auto"/>
                <w:kern w:val="2"/>
                <w:highlight w:val="none"/>
              </w:rPr>
              <w:t>审查指标</w:t>
            </w:r>
          </w:p>
        </w:tc>
        <w:tc>
          <w:tcPr>
            <w:tcW w:w="1835" w:type="pct"/>
            <w:tcBorders>
              <w:bottom w:val="single" w:color="auto" w:sz="4" w:space="0"/>
            </w:tcBorders>
            <w:vAlign w:val="center"/>
          </w:tcPr>
          <w:p w14:paraId="7A640AF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审查标准</w:t>
            </w:r>
          </w:p>
        </w:tc>
        <w:tc>
          <w:tcPr>
            <w:tcW w:w="1473" w:type="pct"/>
            <w:tcBorders>
              <w:bottom w:val="single" w:color="auto" w:sz="4" w:space="0"/>
            </w:tcBorders>
            <w:vAlign w:val="center"/>
          </w:tcPr>
          <w:p w14:paraId="6B05049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5549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12EB79BF">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1</w:t>
            </w:r>
          </w:p>
        </w:tc>
        <w:tc>
          <w:tcPr>
            <w:tcW w:w="1242" w:type="pct"/>
            <w:vAlign w:val="center"/>
          </w:tcPr>
          <w:p w14:paraId="6EAA605D">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0"/>
                <w:highlight w:val="none"/>
              </w:rPr>
              <w:t>开标一览表</w:t>
            </w:r>
          </w:p>
        </w:tc>
        <w:tc>
          <w:tcPr>
            <w:tcW w:w="1835" w:type="pct"/>
            <w:vAlign w:val="center"/>
          </w:tcPr>
          <w:p w14:paraId="193FB0AC">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73" w:type="pct"/>
            <w:vAlign w:val="center"/>
          </w:tcPr>
          <w:p w14:paraId="3B6964B7">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0C57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041C68AE">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2</w:t>
            </w:r>
          </w:p>
        </w:tc>
        <w:tc>
          <w:tcPr>
            <w:tcW w:w="1242" w:type="pct"/>
            <w:vAlign w:val="center"/>
          </w:tcPr>
          <w:p w14:paraId="50E88F36">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04CAE6B5">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73" w:type="pct"/>
            <w:vAlign w:val="center"/>
          </w:tcPr>
          <w:p w14:paraId="77016A4B">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250C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1BFF800C">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default" w:asciiTheme="minorEastAsia" w:hAnsiTheme="minorEastAsia" w:eastAsiaTheme="minorEastAsia"/>
                <w:color w:val="auto"/>
                <w:sz w:val="24"/>
                <w:szCs w:val="20"/>
                <w:highlight w:val="none"/>
              </w:rPr>
              <w:t>3</w:t>
            </w:r>
          </w:p>
        </w:tc>
        <w:tc>
          <w:tcPr>
            <w:tcW w:w="1242" w:type="pct"/>
            <w:vAlign w:val="center"/>
          </w:tcPr>
          <w:p w14:paraId="33E00229">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3BFA268">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73" w:type="pct"/>
            <w:vAlign w:val="center"/>
          </w:tcPr>
          <w:p w14:paraId="59C63C82">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法定代表人参加投标的无需此件，提供身份证明即可。详见第六章投标文件格式。</w:t>
            </w:r>
          </w:p>
        </w:tc>
      </w:tr>
      <w:tr w14:paraId="5C6D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5D5D5AD9">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4</w:t>
            </w:r>
          </w:p>
        </w:tc>
        <w:tc>
          <w:tcPr>
            <w:tcW w:w="1242" w:type="pct"/>
            <w:vAlign w:val="center"/>
          </w:tcPr>
          <w:p w14:paraId="61731038">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64228EF">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0"/>
                <w:highlight w:val="none"/>
              </w:rPr>
              <w:t>招标文件投标人须知正文第9条要求</w:t>
            </w:r>
          </w:p>
        </w:tc>
        <w:tc>
          <w:tcPr>
            <w:tcW w:w="1473" w:type="pct"/>
            <w:vAlign w:val="center"/>
          </w:tcPr>
          <w:p w14:paraId="03292495">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4F9C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5EB512E8">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5</w:t>
            </w:r>
          </w:p>
        </w:tc>
        <w:tc>
          <w:tcPr>
            <w:tcW w:w="1242" w:type="pct"/>
            <w:vAlign w:val="center"/>
          </w:tcPr>
          <w:p w14:paraId="63A339CD">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07ED606B">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宋体" w:hAnsi="宋体" w:eastAsia="宋体"/>
                <w:b w:val="0"/>
                <w:color w:val="auto"/>
                <w:sz w:val="24"/>
                <w:szCs w:val="20"/>
                <w:highlight w:val="none"/>
                <w:lang w:val="en-US" w:eastAsia="zh-CN"/>
              </w:rPr>
              <w:t>服务</w:t>
            </w:r>
            <w:r>
              <w:rPr>
                <w:rFonts w:hint="eastAsia" w:ascii="宋体" w:hAnsi="宋体" w:eastAsia="宋体"/>
                <w:b w:val="0"/>
                <w:color w:val="auto"/>
                <w:sz w:val="24"/>
                <w:szCs w:val="20"/>
                <w:highlight w:val="none"/>
              </w:rPr>
              <w:t>地点</w:t>
            </w:r>
            <w:r>
              <w:rPr>
                <w:rFonts w:hint="eastAsia" w:asciiTheme="minorEastAsia" w:hAnsiTheme="minorEastAsia" w:eastAsiaTheme="minorEastAsia"/>
                <w:color w:val="auto"/>
                <w:sz w:val="24"/>
                <w:szCs w:val="28"/>
                <w:highlight w:val="none"/>
              </w:rPr>
              <w:t>、</w:t>
            </w:r>
            <w:r>
              <w:rPr>
                <w:rFonts w:hint="eastAsia" w:ascii="宋体" w:hAnsi="宋体" w:eastAsia="宋体"/>
                <w:b w:val="0"/>
                <w:color w:val="auto"/>
                <w:sz w:val="24"/>
                <w:szCs w:val="20"/>
                <w:highlight w:val="none"/>
                <w:lang w:val="en-US" w:eastAsia="zh-CN"/>
              </w:rPr>
              <w:t>服务</w:t>
            </w:r>
            <w:r>
              <w:rPr>
                <w:rFonts w:hint="eastAsia" w:ascii="宋体" w:hAnsi="宋体" w:eastAsia="宋体"/>
                <w:b w:val="0"/>
                <w:color w:val="auto"/>
                <w:sz w:val="24"/>
                <w:szCs w:val="20"/>
                <w:highlight w:val="none"/>
              </w:rPr>
              <w:t>期限</w:t>
            </w:r>
            <w:r>
              <w:rPr>
                <w:rFonts w:hint="eastAsia" w:asciiTheme="minorEastAsia" w:hAnsiTheme="minorEastAsia" w:eastAsiaTheme="minorEastAsia"/>
                <w:color w:val="auto"/>
                <w:sz w:val="24"/>
                <w:szCs w:val="28"/>
                <w:highlight w:val="none"/>
              </w:rPr>
              <w:t>等实质性要求</w:t>
            </w:r>
          </w:p>
        </w:tc>
        <w:tc>
          <w:tcPr>
            <w:tcW w:w="1473" w:type="pct"/>
            <w:vAlign w:val="center"/>
          </w:tcPr>
          <w:p w14:paraId="38988E69">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6062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74FD05A4">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lang w:val="en-US" w:eastAsia="zh-CN"/>
              </w:rPr>
            </w:pPr>
            <w:r>
              <w:rPr>
                <w:rFonts w:hint="eastAsia" w:asciiTheme="minorEastAsia" w:hAnsiTheme="minorEastAsia" w:eastAsiaTheme="minorEastAsia"/>
                <w:color w:val="auto"/>
                <w:sz w:val="24"/>
                <w:szCs w:val="20"/>
                <w:highlight w:val="none"/>
                <w:lang w:val="en-US" w:eastAsia="zh-CN"/>
              </w:rPr>
              <w:t>6</w:t>
            </w:r>
          </w:p>
        </w:tc>
        <w:tc>
          <w:tcPr>
            <w:tcW w:w="1242" w:type="pct"/>
            <w:vAlign w:val="center"/>
          </w:tcPr>
          <w:p w14:paraId="4AA7868B">
            <w:pPr>
              <w:keepNext w:val="0"/>
              <w:keepLines w:val="0"/>
              <w:suppressLineNumbers w:val="0"/>
              <w:spacing w:before="0" w:beforeAutospacing="0" w:after="50" w:afterAutospacing="0" w:line="360" w:lineRule="auto"/>
              <w:ind w:left="0" w:right="-1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技术响应情况</w:t>
            </w:r>
          </w:p>
        </w:tc>
        <w:tc>
          <w:tcPr>
            <w:tcW w:w="1835" w:type="pct"/>
            <w:vAlign w:val="center"/>
          </w:tcPr>
          <w:p w14:paraId="0DBBB41C">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符合招标文件采购需求等实质性要求</w:t>
            </w:r>
          </w:p>
        </w:tc>
        <w:tc>
          <w:tcPr>
            <w:tcW w:w="1473" w:type="pct"/>
            <w:vAlign w:val="center"/>
          </w:tcPr>
          <w:p w14:paraId="03CD77A3">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1F23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Align w:val="center"/>
          </w:tcPr>
          <w:p w14:paraId="7AD0D402">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lang w:eastAsia="zh-CN"/>
              </w:rPr>
            </w:pPr>
            <w:r>
              <w:rPr>
                <w:rFonts w:hint="eastAsia" w:asciiTheme="minorEastAsia" w:hAnsiTheme="minorEastAsia" w:eastAsiaTheme="minorEastAsia"/>
                <w:color w:val="auto"/>
                <w:sz w:val="24"/>
                <w:szCs w:val="20"/>
                <w:highlight w:val="none"/>
                <w:lang w:val="en-US" w:eastAsia="zh-CN"/>
              </w:rPr>
              <w:t>6</w:t>
            </w:r>
          </w:p>
        </w:tc>
        <w:tc>
          <w:tcPr>
            <w:tcW w:w="1242" w:type="pct"/>
            <w:vAlign w:val="center"/>
          </w:tcPr>
          <w:p w14:paraId="38623A27">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B5DB386">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1473" w:type="pct"/>
            <w:vAlign w:val="center"/>
          </w:tcPr>
          <w:p w14:paraId="44BCEEDA">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p>
        </w:tc>
      </w:tr>
    </w:tbl>
    <w:p w14:paraId="4034B30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40C50D27">
      <w:pPr>
        <w:spacing w:line="360" w:lineRule="auto"/>
        <w:ind w:firstLine="435"/>
        <w:rPr>
          <w:rFonts w:hint="eastAsia" w:asciiTheme="minorEastAsia" w:hAnsiTheme="minorEastAsia" w:eastAsiaTheme="minorEastAsia"/>
          <w:color w:val="auto"/>
          <w:sz w:val="24"/>
          <w:highlight w:val="none"/>
        </w:rPr>
      </w:pPr>
    </w:p>
    <w:p w14:paraId="60B02F38">
      <w:pPr>
        <w:widowControl/>
        <w:jc w:val="center"/>
        <w:rPr>
          <w:rFonts w:hint="eastAsia" w:asciiTheme="minorEastAsia" w:hAnsiTheme="minorEastAsia" w:eastAsiaTheme="minorEastAsia"/>
          <w:b/>
          <w:color w:val="auto"/>
          <w:sz w:val="28"/>
          <w:highlight w:val="none"/>
        </w:rPr>
      </w:pPr>
    </w:p>
    <w:p w14:paraId="33AEE1DA">
      <w:pPr>
        <w:pStyle w:val="25"/>
        <w:rPr>
          <w:rFonts w:hint="eastAsia" w:asciiTheme="minorEastAsia" w:hAnsiTheme="minorEastAsia" w:eastAsiaTheme="minorEastAsia"/>
          <w:b/>
          <w:color w:val="auto"/>
          <w:sz w:val="28"/>
          <w:highlight w:val="none"/>
        </w:rPr>
      </w:pPr>
    </w:p>
    <w:p w14:paraId="4A76B6A7">
      <w:pPr>
        <w:pStyle w:val="25"/>
        <w:rPr>
          <w:rFonts w:hint="eastAsia" w:asciiTheme="minorEastAsia" w:hAnsiTheme="minorEastAsia" w:eastAsiaTheme="minorEastAsia"/>
          <w:b/>
          <w:color w:val="auto"/>
          <w:sz w:val="28"/>
          <w:highlight w:val="none"/>
        </w:rPr>
      </w:pPr>
    </w:p>
    <w:p w14:paraId="2C2B6745">
      <w:pPr>
        <w:pStyle w:val="25"/>
        <w:rPr>
          <w:rFonts w:hint="eastAsia" w:asciiTheme="minorEastAsia" w:hAnsiTheme="minorEastAsia" w:eastAsiaTheme="minorEastAsia"/>
          <w:b/>
          <w:color w:val="auto"/>
          <w:sz w:val="28"/>
          <w:highlight w:val="none"/>
        </w:rPr>
      </w:pPr>
    </w:p>
    <w:p w14:paraId="5F151CF2">
      <w:pPr>
        <w:pStyle w:val="25"/>
        <w:rPr>
          <w:rFonts w:hint="eastAsia" w:asciiTheme="minorEastAsia" w:hAnsiTheme="minorEastAsia" w:eastAsiaTheme="minorEastAsia"/>
          <w:b/>
          <w:color w:val="auto"/>
          <w:sz w:val="28"/>
          <w:highlight w:val="none"/>
        </w:rPr>
      </w:pPr>
    </w:p>
    <w:p w14:paraId="0394D8EB">
      <w:pPr>
        <w:pStyle w:val="25"/>
        <w:rPr>
          <w:rFonts w:hint="eastAsia" w:asciiTheme="minorEastAsia" w:hAnsiTheme="minorEastAsia" w:eastAsiaTheme="minorEastAsia"/>
          <w:b/>
          <w:color w:val="auto"/>
          <w:sz w:val="28"/>
          <w:highlight w:val="none"/>
        </w:rPr>
      </w:pPr>
    </w:p>
    <w:p w14:paraId="1272FB99">
      <w:pPr>
        <w:widowControl/>
        <w:jc w:val="cente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p>
    <w:p w14:paraId="602AE290">
      <w:pPr>
        <w:pStyle w:val="3"/>
        <w:spacing w:after="0" w:line="360" w:lineRule="auto"/>
        <w:jc w:val="center"/>
        <w:rPr>
          <w:rFonts w:hint="eastAsia" w:ascii="宋体" w:hAnsi="宋体" w:eastAsia="宋体" w:cs="宋体"/>
          <w:b/>
          <w:bCs/>
          <w:color w:val="auto"/>
          <w:spacing w:val="-20"/>
          <w:kern w:val="44"/>
          <w:sz w:val="24"/>
          <w:highlight w:val="none"/>
        </w:rPr>
      </w:pPr>
    </w:p>
    <w:p w14:paraId="26872B5B">
      <w:pPr>
        <w:pStyle w:val="3"/>
        <w:spacing w:after="0" w:line="360" w:lineRule="auto"/>
        <w:jc w:val="center"/>
        <w:rPr>
          <w:rFonts w:hint="default" w:ascii="宋体" w:hAnsi="宋体" w:eastAsia="宋体" w:cs="宋体"/>
          <w:b/>
          <w:bCs/>
          <w:color w:val="auto"/>
          <w:spacing w:val="-20"/>
          <w:kern w:val="44"/>
          <w:sz w:val="30"/>
          <w:szCs w:val="30"/>
          <w:highlight w:val="none"/>
          <w:lang w:val="en-US" w:eastAsia="zh-CN"/>
        </w:rPr>
      </w:pPr>
      <w:r>
        <w:rPr>
          <w:rFonts w:hint="eastAsia" w:ascii="宋体" w:hAnsi="宋体" w:eastAsia="宋体" w:cs="宋体"/>
          <w:b/>
          <w:bCs/>
          <w:color w:val="auto"/>
          <w:spacing w:val="-20"/>
          <w:kern w:val="44"/>
          <w:sz w:val="30"/>
          <w:szCs w:val="30"/>
          <w:highlight w:val="none"/>
          <w:lang w:val="en-US" w:eastAsia="zh-CN"/>
        </w:rPr>
        <w:t>（此格式合格仅供参考）</w:t>
      </w:r>
    </w:p>
    <w:p w14:paraId="7D9E0BB2">
      <w:pPr>
        <w:pStyle w:val="3"/>
        <w:rPr>
          <w:rFonts w:hint="eastAsia" w:ascii="宋体" w:hAnsi="宋体" w:eastAsia="宋体" w:cs="宋体"/>
          <w:b/>
          <w:bCs/>
          <w:color w:val="auto"/>
          <w:spacing w:val="-20"/>
          <w:kern w:val="44"/>
          <w:sz w:val="24"/>
          <w:highlight w:val="none"/>
        </w:rPr>
      </w:pPr>
    </w:p>
    <w:p w14:paraId="50E147DA">
      <w:pPr>
        <w:keepNext w:val="0"/>
        <w:keepLines w:val="0"/>
        <w:widowControl w:val="0"/>
        <w:suppressLineNumbers w:val="0"/>
        <w:spacing w:before="0" w:beforeAutospacing="0" w:after="0" w:afterAutospacing="0" w:line="480" w:lineRule="auto"/>
        <w:ind w:left="0" w:right="0"/>
        <w:jc w:val="center"/>
        <w:outlineLvl w:val="1"/>
        <w:rPr>
          <w:rFonts w:hint="eastAsia" w:ascii="宋体" w:hAnsi="宋体" w:eastAsia="宋体" w:cs="Times New Roman"/>
          <w:b/>
          <w:bCs w:val="0"/>
          <w:color w:val="auto"/>
          <w:kern w:val="2"/>
          <w:sz w:val="28"/>
          <w:szCs w:val="28"/>
          <w:highlight w:val="none"/>
        </w:rPr>
      </w:pPr>
      <w:bookmarkStart w:id="64" w:name="_Toc21416"/>
      <w:r>
        <w:rPr>
          <w:rFonts w:hint="eastAsia" w:ascii="宋体" w:hAnsi="宋体" w:eastAsia="宋体" w:cs="宋体"/>
          <w:b/>
          <w:bCs w:val="0"/>
          <w:color w:val="auto"/>
          <w:kern w:val="2"/>
          <w:sz w:val="28"/>
          <w:szCs w:val="28"/>
          <w:highlight w:val="none"/>
          <w:lang w:val="en-US" w:eastAsia="zh-CN" w:bidi="ar"/>
        </w:rPr>
        <w:t>采购合同参考范本</w:t>
      </w:r>
      <w:bookmarkEnd w:id="64"/>
    </w:p>
    <w:p w14:paraId="71E8A504">
      <w:pPr>
        <w:keepNext w:val="0"/>
        <w:keepLines w:val="0"/>
        <w:widowControl w:val="0"/>
        <w:suppressLineNumbers w:val="0"/>
        <w:spacing w:before="0" w:beforeAutospacing="0" w:after="0" w:afterAutospacing="0" w:line="480" w:lineRule="auto"/>
        <w:ind w:left="0" w:right="0"/>
        <w:jc w:val="center"/>
        <w:outlineLvl w:val="1"/>
        <w:rPr>
          <w:rFonts w:hint="eastAsia" w:ascii="宋体" w:hAnsi="宋体" w:eastAsia="宋体" w:cs="Times New Roman"/>
          <w:b/>
          <w:bCs w:val="0"/>
          <w:color w:val="auto"/>
          <w:kern w:val="2"/>
          <w:sz w:val="28"/>
          <w:szCs w:val="28"/>
          <w:highlight w:val="none"/>
        </w:rPr>
      </w:pPr>
      <w:bookmarkStart w:id="65" w:name="_Toc842"/>
      <w:r>
        <w:rPr>
          <w:rFonts w:hint="eastAsia" w:ascii="宋体" w:hAnsi="宋体" w:eastAsia="宋体" w:cs="宋体"/>
          <w:b/>
          <w:bCs w:val="0"/>
          <w:color w:val="auto"/>
          <w:kern w:val="2"/>
          <w:sz w:val="28"/>
          <w:szCs w:val="28"/>
          <w:highlight w:val="none"/>
          <w:lang w:val="en-US" w:eastAsia="zh-CN" w:bidi="ar"/>
        </w:rPr>
        <w:t>（服务类）</w:t>
      </w:r>
      <w:bookmarkEnd w:id="65"/>
    </w:p>
    <w:p w14:paraId="5DAE525D">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Times New Roman"/>
          <w:b/>
          <w:bCs w:val="0"/>
          <w:color w:val="auto"/>
          <w:kern w:val="2"/>
          <w:sz w:val="24"/>
          <w:szCs w:val="24"/>
          <w:highlight w:val="none"/>
        </w:rPr>
      </w:pPr>
      <w:r>
        <w:rPr>
          <w:rFonts w:hint="eastAsia" w:ascii="宋体" w:hAnsi="宋体" w:eastAsia="宋体" w:cs="Times New Roman"/>
          <w:b/>
          <w:bCs w:val="0"/>
          <w:color w:val="auto"/>
          <w:kern w:val="2"/>
          <w:sz w:val="24"/>
          <w:szCs w:val="24"/>
          <w:highlight w:val="none"/>
          <w:lang w:val="en-US" w:eastAsia="zh-CN" w:bidi="ar"/>
        </w:rPr>
        <w:t xml:space="preserve"> </w:t>
      </w:r>
    </w:p>
    <w:p w14:paraId="43F20DB3">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Times New Roman"/>
          <w:b/>
          <w:bCs w:val="0"/>
          <w:color w:val="auto"/>
          <w:kern w:val="2"/>
          <w:sz w:val="24"/>
          <w:szCs w:val="24"/>
          <w:highlight w:val="none"/>
        </w:rPr>
      </w:pPr>
      <w:r>
        <w:rPr>
          <w:rFonts w:hint="eastAsia" w:ascii="宋体" w:hAnsi="宋体" w:eastAsia="宋体" w:cs="Times New Roman"/>
          <w:b/>
          <w:bCs w:val="0"/>
          <w:color w:val="auto"/>
          <w:kern w:val="2"/>
          <w:sz w:val="24"/>
          <w:szCs w:val="24"/>
          <w:highlight w:val="none"/>
          <w:lang w:val="en-US" w:eastAsia="zh-CN" w:bidi="ar"/>
        </w:rPr>
        <w:t xml:space="preserve"> </w:t>
      </w:r>
    </w:p>
    <w:p w14:paraId="014A9524">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仿宋_GB2312"/>
          <w:b/>
          <w:bCs w:val="0"/>
          <w:color w:val="auto"/>
          <w:kern w:val="2"/>
          <w:sz w:val="24"/>
          <w:szCs w:val="24"/>
          <w:highlight w:val="none"/>
        </w:rPr>
      </w:pPr>
      <w:bookmarkStart w:id="66" w:name="_Toc8721"/>
      <w:r>
        <w:rPr>
          <w:rFonts w:hint="eastAsia" w:ascii="宋体" w:hAnsi="宋体" w:eastAsia="宋体" w:cs="宋体"/>
          <w:b/>
          <w:bCs w:val="0"/>
          <w:color w:val="auto"/>
          <w:kern w:val="2"/>
          <w:sz w:val="24"/>
          <w:szCs w:val="24"/>
          <w:highlight w:val="none"/>
          <w:lang w:val="en-US" w:eastAsia="zh-CN" w:bidi="ar"/>
        </w:rPr>
        <w:t>第一部分</w:t>
      </w:r>
      <w:r>
        <w:rPr>
          <w:rFonts w:hint="eastAsia" w:ascii="宋体" w:hAnsi="宋体" w:eastAsia="宋体" w:cs="@仿宋_GB2312"/>
          <w:b/>
          <w:bCs w:val="0"/>
          <w:color w:val="auto"/>
          <w:kern w:val="2"/>
          <w:sz w:val="24"/>
          <w:szCs w:val="24"/>
          <w:highlight w:val="none"/>
          <w:lang w:val="en-US" w:eastAsia="zh-CN" w:bidi="ar"/>
        </w:rPr>
        <w:t xml:space="preserve"> </w:t>
      </w:r>
      <w:r>
        <w:rPr>
          <w:rFonts w:hint="eastAsia" w:ascii="宋体" w:hAnsi="宋体" w:eastAsia="宋体" w:cs="宋体"/>
          <w:b/>
          <w:bCs w:val="0"/>
          <w:color w:val="auto"/>
          <w:kern w:val="2"/>
          <w:sz w:val="24"/>
          <w:szCs w:val="24"/>
          <w:highlight w:val="none"/>
          <w:lang w:val="en-US" w:eastAsia="zh-CN" w:bidi="ar"/>
        </w:rPr>
        <w:t>合同书</w:t>
      </w:r>
      <w:bookmarkEnd w:id="66"/>
    </w:p>
    <w:p w14:paraId="323F4B35">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Times New Roman"/>
          <w:b/>
          <w:bCs w:val="0"/>
          <w:color w:val="auto"/>
          <w:kern w:val="2"/>
          <w:sz w:val="24"/>
          <w:szCs w:val="24"/>
          <w:highlight w:val="none"/>
        </w:rPr>
      </w:pPr>
      <w:r>
        <w:rPr>
          <w:rFonts w:hint="eastAsia" w:ascii="宋体" w:hAnsi="宋体" w:eastAsia="宋体" w:cs="Times New Roman"/>
          <w:b/>
          <w:bCs w:val="0"/>
          <w:color w:val="auto"/>
          <w:kern w:val="2"/>
          <w:sz w:val="24"/>
          <w:szCs w:val="24"/>
          <w:highlight w:val="none"/>
          <w:lang w:val="en-US" w:eastAsia="zh-CN" w:bidi="ar"/>
        </w:rPr>
        <w:t xml:space="preserve"> </w:t>
      </w:r>
    </w:p>
    <w:p w14:paraId="1B353C46">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Times New Roman"/>
          <w:b/>
          <w:bCs w:val="0"/>
          <w:color w:val="auto"/>
          <w:kern w:val="2"/>
          <w:sz w:val="24"/>
          <w:szCs w:val="24"/>
          <w:highlight w:val="none"/>
        </w:rPr>
      </w:pPr>
      <w:r>
        <w:rPr>
          <w:rFonts w:hint="eastAsia" w:ascii="宋体" w:hAnsi="宋体" w:eastAsia="宋体" w:cs="Times New Roman"/>
          <w:b/>
          <w:bCs w:val="0"/>
          <w:color w:val="auto"/>
          <w:kern w:val="2"/>
          <w:sz w:val="24"/>
          <w:szCs w:val="24"/>
          <w:highlight w:val="none"/>
          <w:lang w:val="en-US" w:eastAsia="zh-CN" w:bidi="ar"/>
        </w:rPr>
        <w:t xml:space="preserve"> </w:t>
      </w:r>
    </w:p>
    <w:p w14:paraId="674B3F74">
      <w:pPr>
        <w:pStyle w:val="22"/>
        <w:keepNext w:val="0"/>
        <w:keepLines w:val="0"/>
        <w:widowControl w:val="0"/>
        <w:suppressLineNumbers w:val="0"/>
        <w:spacing w:before="0" w:beforeAutospacing="1" w:after="156" w:afterAutospacing="0"/>
        <w:ind w:left="0" w:right="0"/>
        <w:jc w:val="both"/>
        <w:rPr>
          <w:color w:val="auto"/>
          <w:kern w:val="2"/>
          <w:sz w:val="21"/>
          <w:szCs w:val="21"/>
          <w:highlight w:val="none"/>
        </w:rPr>
      </w:pPr>
      <w:r>
        <w:rPr>
          <w:color w:val="auto"/>
          <w:kern w:val="2"/>
          <w:sz w:val="21"/>
          <w:szCs w:val="21"/>
          <w:highlight w:val="none"/>
          <w:lang w:val="en-US" w:eastAsia="zh-CN" w:bidi="ar"/>
        </w:rPr>
        <w:t xml:space="preserve"> </w:t>
      </w:r>
    </w:p>
    <w:p w14:paraId="5AB78D60">
      <w:pPr>
        <w:pStyle w:val="22"/>
        <w:keepNext w:val="0"/>
        <w:keepLines w:val="0"/>
        <w:widowControl w:val="0"/>
        <w:suppressLineNumbers w:val="0"/>
        <w:spacing w:before="0" w:beforeAutospacing="1" w:after="156" w:afterAutospacing="0"/>
        <w:ind w:left="0" w:right="0"/>
        <w:jc w:val="both"/>
        <w:rPr>
          <w:color w:val="auto"/>
          <w:kern w:val="2"/>
          <w:sz w:val="21"/>
          <w:szCs w:val="21"/>
          <w:highlight w:val="none"/>
        </w:rPr>
      </w:pPr>
      <w:r>
        <w:rPr>
          <w:color w:val="auto"/>
          <w:kern w:val="2"/>
          <w:sz w:val="21"/>
          <w:szCs w:val="21"/>
          <w:highlight w:val="none"/>
          <w:lang w:val="en-US" w:eastAsia="zh-CN" w:bidi="ar"/>
        </w:rPr>
        <w:t xml:space="preserve"> </w:t>
      </w:r>
    </w:p>
    <w:p w14:paraId="081C043A">
      <w:pPr>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480" w:lineRule="auto"/>
        <w:ind w:left="960" w:right="0"/>
        <w:jc w:val="both"/>
        <w:textAlignment w:val="auto"/>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项目名称：</w:t>
      </w:r>
      <w:r>
        <w:rPr>
          <w:rFonts w:hint="eastAsia" w:ascii="宋体" w:hAnsi="宋体" w:eastAsia="宋体" w:cs="宋体"/>
          <w:color w:val="auto"/>
          <w:kern w:val="2"/>
          <w:sz w:val="24"/>
          <w:szCs w:val="24"/>
          <w:highlight w:val="none"/>
          <w:u w:val="single"/>
          <w:lang w:val="en-US" w:eastAsia="zh-CN" w:bidi="ar"/>
        </w:rPr>
        <w:t>滁州市第一人民医院使用后未被污染输液瓶（袋）及透析壶等回收项目（三次）</w:t>
      </w:r>
    </w:p>
    <w:p w14:paraId="232DA0AF">
      <w:pPr>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480" w:lineRule="auto"/>
        <w:ind w:left="960" w:right="0"/>
        <w:jc w:val="both"/>
        <w:textAlignment w:val="auto"/>
        <w:rPr>
          <w:rFonts w:hint="default" w:ascii="宋体" w:hAnsi="宋体" w:eastAsia="宋体" w:cs="Times New Roman"/>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项目编号：</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u w:val="single"/>
          <w:lang w:val="en-US" w:eastAsia="zh-CN" w:bidi="ar"/>
        </w:rPr>
        <w:t>CZYY-2026-42</w:t>
      </w:r>
    </w:p>
    <w:p w14:paraId="34962D72">
      <w:pPr>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480" w:lineRule="auto"/>
        <w:ind w:left="960" w:right="0"/>
        <w:jc w:val="both"/>
        <w:textAlignment w:val="auto"/>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甲方（采购人）：</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u w:val="single"/>
          <w:lang w:val="en-US" w:eastAsia="zh-CN" w:bidi="ar"/>
        </w:rPr>
        <w:t>滁州第一人民医院</w:t>
      </w:r>
      <w:r>
        <w:rPr>
          <w:rFonts w:hint="eastAsia" w:ascii="宋体" w:hAnsi="宋体" w:eastAsia="宋体" w:cs="Times New Roman"/>
          <w:color w:val="auto"/>
          <w:kern w:val="2"/>
          <w:sz w:val="24"/>
          <w:szCs w:val="24"/>
          <w:highlight w:val="none"/>
          <w:u w:val="single"/>
          <w:lang w:val="en-US" w:eastAsia="zh-CN" w:bidi="ar"/>
        </w:rPr>
        <w:t xml:space="preserve">      </w:t>
      </w:r>
    </w:p>
    <w:p w14:paraId="42403D92">
      <w:pPr>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480" w:lineRule="auto"/>
        <w:ind w:left="960" w:right="0"/>
        <w:jc w:val="both"/>
        <w:textAlignment w:val="auto"/>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乙方（中标人）：</w:t>
      </w:r>
      <w:r>
        <w:rPr>
          <w:rFonts w:hint="eastAsia" w:ascii="宋体" w:hAnsi="宋体" w:eastAsia="宋体" w:cs="Times New Roman"/>
          <w:color w:val="auto"/>
          <w:kern w:val="2"/>
          <w:sz w:val="24"/>
          <w:szCs w:val="24"/>
          <w:highlight w:val="none"/>
          <w:u w:val="single"/>
          <w:lang w:val="en-US" w:eastAsia="zh-CN" w:bidi="ar"/>
        </w:rPr>
        <w:t xml:space="preserve">                              </w:t>
      </w:r>
    </w:p>
    <w:p w14:paraId="251B0A9F">
      <w:pPr>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480" w:lineRule="auto"/>
        <w:ind w:left="0" w:right="0" w:firstLine="960" w:firstLineChars="400"/>
        <w:jc w:val="both"/>
        <w:textAlignment w:val="auto"/>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签订地：</w:t>
      </w:r>
      <w:r>
        <w:rPr>
          <w:rFonts w:hint="eastAsia" w:ascii="宋体" w:hAnsi="宋体" w:eastAsia="宋体" w:cs="Times New Roman"/>
          <w:color w:val="auto"/>
          <w:kern w:val="2"/>
          <w:sz w:val="24"/>
          <w:szCs w:val="24"/>
          <w:highlight w:val="none"/>
          <w:u w:val="single"/>
          <w:lang w:val="en-US" w:eastAsia="zh-CN" w:bidi="ar"/>
        </w:rPr>
        <w:t xml:space="preserve">                                     </w:t>
      </w:r>
    </w:p>
    <w:p w14:paraId="011ECB8A">
      <w:pPr>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480" w:lineRule="auto"/>
        <w:ind w:left="0" w:right="0" w:firstLine="960" w:firstLineChars="400"/>
        <w:jc w:val="both"/>
        <w:textAlignment w:val="auto"/>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签订日期：</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年</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月</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日</w:t>
      </w:r>
    </w:p>
    <w:p w14:paraId="2DFEB57D">
      <w:pPr>
        <w:keepNext w:val="0"/>
        <w:keepLines w:val="0"/>
        <w:widowControl/>
        <w:suppressLineNumbers w:val="0"/>
        <w:spacing w:before="0" w:beforeAutospacing="0" w:after="0" w:afterAutospacing="0"/>
        <w:ind w:left="0" w:right="0"/>
        <w:jc w:val="left"/>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lang w:val="en-US" w:eastAsia="zh-CN" w:bidi="ar"/>
        </w:rPr>
        <w:br w:type="page"/>
      </w:r>
    </w:p>
    <w:p w14:paraId="69DD83A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u w:val="single"/>
          <w:lang w:val="en-US" w:eastAsia="zh-CN" w:bidi="ar"/>
        </w:rPr>
        <w:t>滁州第一人民医院</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（以下简称：甲方）通过组织</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u w:val="single"/>
          <w:lang w:val="en-US" w:eastAsia="zh-CN" w:bidi="ar"/>
        </w:rPr>
        <w:t>滁州市第一人民医院使用后未被污染输液瓶（袋）及透析壶等回收项目（三次）</w:t>
      </w:r>
      <w:r>
        <w:rPr>
          <w:rFonts w:hint="eastAsia" w:ascii="宋体" w:hAnsi="宋体" w:eastAsia="宋体" w:cs="宋体"/>
          <w:color w:val="auto"/>
          <w:kern w:val="2"/>
          <w:sz w:val="24"/>
          <w:szCs w:val="24"/>
          <w:highlight w:val="none"/>
          <w:lang w:val="en-US" w:eastAsia="zh-CN" w:bidi="ar"/>
        </w:rPr>
        <w:t>的</w:t>
      </w:r>
      <w:r>
        <w:rPr>
          <w:rFonts w:hint="eastAsia" w:ascii="宋体" w:hAnsi="宋体" w:eastAsia="宋体" w:cs="宋体"/>
          <w:color w:val="auto"/>
          <w:kern w:val="2"/>
          <w:sz w:val="24"/>
          <w:szCs w:val="24"/>
          <w:highlight w:val="none"/>
          <w:u w:val="single"/>
          <w:lang w:val="en-US" w:eastAsia="zh-CN" w:bidi="ar"/>
        </w:rPr>
        <w:t>公开招标</w:t>
      </w:r>
      <w:r>
        <w:rPr>
          <w:rFonts w:hint="eastAsia" w:ascii="宋体" w:hAnsi="宋体" w:eastAsia="宋体" w:cs="宋体"/>
          <w:color w:val="auto"/>
          <w:kern w:val="2"/>
          <w:sz w:val="24"/>
          <w:szCs w:val="24"/>
          <w:highlight w:val="none"/>
          <w:lang w:val="en-US" w:eastAsia="zh-CN" w:bidi="ar"/>
        </w:rPr>
        <w:t>采购活动，经</w:t>
      </w:r>
      <w:r>
        <w:rPr>
          <w:rFonts w:hint="eastAsia" w:ascii="宋体" w:hAnsi="宋体" w:eastAsia="宋体" w:cs="宋体"/>
          <w:color w:val="auto"/>
          <w:kern w:val="2"/>
          <w:sz w:val="24"/>
          <w:szCs w:val="24"/>
          <w:highlight w:val="none"/>
          <w:u w:val="single"/>
          <w:lang w:val="en-US" w:eastAsia="zh-CN" w:bidi="ar"/>
        </w:rPr>
        <w:t>评标委员会</w:t>
      </w:r>
      <w:r>
        <w:rPr>
          <w:rFonts w:hint="eastAsia" w:ascii="宋体" w:hAnsi="宋体" w:eastAsia="宋体" w:cs="宋体"/>
          <w:color w:val="auto"/>
          <w:kern w:val="2"/>
          <w:sz w:val="24"/>
          <w:szCs w:val="24"/>
          <w:highlight w:val="none"/>
          <w:lang w:val="en-US" w:eastAsia="zh-CN" w:bidi="ar"/>
        </w:rPr>
        <w:t>评定，</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（以下简称：乙方）为本项目中标人，现按照采购文件确定的事项签订本合同。</w:t>
      </w:r>
    </w:p>
    <w:p w14:paraId="60F0583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根据《中华人民共和国民法典》、《中华人民共和国政府采购法》等相关法律法规之规定，按照平等、自愿、公平和诚实信用的原则，经甲方和乙方协商一致，约定以下合同条款，以兹共同遵守、全面履行。</w:t>
      </w:r>
    </w:p>
    <w:p w14:paraId="35A32AF8">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1.1</w:t>
      </w:r>
      <w:r>
        <w:rPr>
          <w:rFonts w:hint="eastAsia" w:ascii="宋体" w:hAnsi="宋体" w:eastAsia="宋体" w:cs="Times New Roman"/>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合同组成部分</w:t>
      </w:r>
    </w:p>
    <w:p w14:paraId="16D38EF0">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下列文件为本合同的组成部分，并构成一个整体，需综合解释、相互补充。如果下列文件内容出现不一致的情形，那么在保证按照采购文件确定的事项前提下，组成本合同的多个文件的优先适用顺序如下：</w:t>
      </w:r>
    </w:p>
    <w:p w14:paraId="13464C5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1.1.1本合同及其补充合同、变更协议；</w:t>
      </w:r>
    </w:p>
    <w:p w14:paraId="2E4C3045">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1.1.2中标通知书；</w:t>
      </w:r>
    </w:p>
    <w:p w14:paraId="60A8C6C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1.1.3投标文件（含澄清或者说明文件）；</w:t>
      </w:r>
    </w:p>
    <w:p w14:paraId="50721A7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1.1.4招标文件（含澄清或者修改文件）；</w:t>
      </w:r>
    </w:p>
    <w:p w14:paraId="4EC7AAB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1.1.5其他相关采购文件。</w:t>
      </w:r>
    </w:p>
    <w:p w14:paraId="19CDE8C7">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1.2 服务</w:t>
      </w:r>
    </w:p>
    <w:p w14:paraId="3D981B36">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1.2.1服务名称：</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u w:val="single"/>
          <w:lang w:val="en-US" w:eastAsia="zh-CN" w:bidi="ar"/>
        </w:rPr>
        <w:t>滁州市第一人民医院使用后未被污染输液瓶（袋）及透析壶等回收项目（三次）</w:t>
      </w:r>
      <w:r>
        <w:rPr>
          <w:rFonts w:hint="eastAsia" w:ascii="宋体" w:hAnsi="宋体" w:eastAsia="宋体" w:cs="宋体"/>
          <w:color w:val="auto"/>
          <w:kern w:val="2"/>
          <w:sz w:val="24"/>
          <w:szCs w:val="24"/>
          <w:highlight w:val="none"/>
          <w:lang w:val="en-US" w:eastAsia="zh-CN" w:bidi="ar"/>
        </w:rPr>
        <w:t>；</w:t>
      </w:r>
    </w:p>
    <w:p w14:paraId="78702CA6">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1.2.2服务内容：</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35FA09A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1.2.3服务质量：</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75FB4822">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w:t>
      </w:r>
      <w:r>
        <w:rPr>
          <w:rFonts w:hint="eastAsia" w:ascii="宋体" w:hAnsi="宋体" w:eastAsia="宋体" w:cs="Times New Roman"/>
          <w:b/>
          <w:bCs/>
          <w:color w:val="auto"/>
          <w:kern w:val="2"/>
          <w:sz w:val="24"/>
          <w:szCs w:val="24"/>
          <w:highlight w:val="none"/>
          <w:lang w:val="en-US" w:eastAsia="zh-CN" w:bidi="ar"/>
        </w:rPr>
        <w:t xml:space="preserve">3 </w:t>
      </w:r>
      <w:r>
        <w:rPr>
          <w:rFonts w:hint="eastAsia" w:ascii="宋体" w:hAnsi="宋体" w:eastAsia="宋体" w:cs="宋体"/>
          <w:b/>
          <w:bCs/>
          <w:color w:val="auto"/>
          <w:kern w:val="2"/>
          <w:sz w:val="24"/>
          <w:szCs w:val="24"/>
          <w:highlight w:val="none"/>
          <w:lang w:val="en-US" w:eastAsia="zh-CN" w:bidi="ar"/>
        </w:rPr>
        <w:t>价款</w:t>
      </w:r>
    </w:p>
    <w:p w14:paraId="4911FA8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本合同总价为：￥</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元（大写：人民币</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元）。</w:t>
      </w:r>
    </w:p>
    <w:p w14:paraId="251845E4">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分项价格：</w:t>
      </w:r>
    </w:p>
    <w:tbl>
      <w:tblPr>
        <w:tblStyle w:val="2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32"/>
        <w:gridCol w:w="4205"/>
        <w:gridCol w:w="11"/>
        <w:gridCol w:w="3371"/>
      </w:tblGrid>
      <w:tr w14:paraId="406C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14:paraId="1D9DAD11">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序号</w:t>
            </w:r>
          </w:p>
        </w:tc>
        <w:tc>
          <w:tcPr>
            <w:tcW w:w="4205" w:type="dxa"/>
            <w:tcBorders>
              <w:top w:val="single" w:color="auto" w:sz="4" w:space="0"/>
              <w:left w:val="single" w:color="auto" w:sz="4" w:space="0"/>
              <w:bottom w:val="single" w:color="auto" w:sz="4" w:space="0"/>
              <w:right w:val="single" w:color="auto" w:sz="4" w:space="0"/>
            </w:tcBorders>
            <w:shd w:val="clear" w:color="auto" w:fill="auto"/>
            <w:vAlign w:val="center"/>
          </w:tcPr>
          <w:p w14:paraId="646AA45F">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分项名称</w:t>
            </w:r>
          </w:p>
        </w:tc>
        <w:tc>
          <w:tcPr>
            <w:tcW w:w="33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F81F00">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分项价格</w:t>
            </w:r>
          </w:p>
        </w:tc>
      </w:tr>
      <w:tr w14:paraId="5814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14:paraId="3A5936BC">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w:t>
            </w:r>
          </w:p>
        </w:tc>
        <w:tc>
          <w:tcPr>
            <w:tcW w:w="4205" w:type="dxa"/>
            <w:tcBorders>
              <w:top w:val="single" w:color="auto" w:sz="4" w:space="0"/>
              <w:left w:val="single" w:color="auto" w:sz="4" w:space="0"/>
              <w:bottom w:val="single" w:color="auto" w:sz="4" w:space="0"/>
              <w:right w:val="single" w:color="auto" w:sz="4" w:space="0"/>
            </w:tcBorders>
            <w:shd w:val="clear" w:color="auto" w:fill="auto"/>
            <w:vAlign w:val="center"/>
          </w:tcPr>
          <w:p w14:paraId="24FF246F">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c>
          <w:tcPr>
            <w:tcW w:w="33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9779ED">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r>
      <w:tr w14:paraId="32BF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14:paraId="46493781">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p>
        </w:tc>
        <w:tc>
          <w:tcPr>
            <w:tcW w:w="4205" w:type="dxa"/>
            <w:tcBorders>
              <w:top w:val="single" w:color="auto" w:sz="4" w:space="0"/>
              <w:left w:val="single" w:color="auto" w:sz="4" w:space="0"/>
              <w:bottom w:val="single" w:color="auto" w:sz="4" w:space="0"/>
              <w:right w:val="single" w:color="auto" w:sz="4" w:space="0"/>
            </w:tcBorders>
            <w:shd w:val="clear" w:color="auto" w:fill="auto"/>
            <w:vAlign w:val="center"/>
          </w:tcPr>
          <w:p w14:paraId="31EA653D">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c>
          <w:tcPr>
            <w:tcW w:w="33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7CC6D7">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r>
      <w:tr w14:paraId="01D6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14:paraId="559F2A12">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lang w:val="en-US" w:eastAsia="zh-CN" w:bidi="ar"/>
              </w:rPr>
              <w:t>3</w:t>
            </w:r>
          </w:p>
        </w:tc>
        <w:tc>
          <w:tcPr>
            <w:tcW w:w="4205" w:type="dxa"/>
            <w:tcBorders>
              <w:top w:val="single" w:color="auto" w:sz="4" w:space="0"/>
              <w:left w:val="single" w:color="auto" w:sz="4" w:space="0"/>
              <w:bottom w:val="single" w:color="auto" w:sz="4" w:space="0"/>
              <w:right w:val="single" w:color="auto" w:sz="4" w:space="0"/>
            </w:tcBorders>
            <w:shd w:val="clear" w:color="auto" w:fill="auto"/>
            <w:vAlign w:val="center"/>
          </w:tcPr>
          <w:p w14:paraId="7A4A8820">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c>
          <w:tcPr>
            <w:tcW w:w="33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11AD87">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r>
      <w:tr w14:paraId="172D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14:paraId="4C02C406">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w:t>
            </w:r>
          </w:p>
        </w:tc>
        <w:tc>
          <w:tcPr>
            <w:tcW w:w="4205" w:type="dxa"/>
            <w:tcBorders>
              <w:top w:val="single" w:color="auto" w:sz="4" w:space="0"/>
              <w:left w:val="single" w:color="auto" w:sz="4" w:space="0"/>
              <w:bottom w:val="single" w:color="auto" w:sz="4" w:space="0"/>
              <w:right w:val="single" w:color="auto" w:sz="4" w:space="0"/>
            </w:tcBorders>
            <w:shd w:val="clear" w:color="auto" w:fill="auto"/>
            <w:vAlign w:val="center"/>
          </w:tcPr>
          <w:p w14:paraId="178D5859">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c>
          <w:tcPr>
            <w:tcW w:w="33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F7CFFC">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r>
      <w:tr w14:paraId="717C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51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91761E">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总价</w:t>
            </w:r>
          </w:p>
        </w:tc>
        <w:tc>
          <w:tcPr>
            <w:tcW w:w="3371" w:type="dxa"/>
            <w:tcBorders>
              <w:top w:val="single" w:color="auto" w:sz="4" w:space="0"/>
              <w:left w:val="single" w:color="auto" w:sz="4" w:space="0"/>
              <w:bottom w:val="single" w:color="auto" w:sz="4" w:space="0"/>
              <w:right w:val="single" w:color="auto" w:sz="4" w:space="0"/>
            </w:tcBorders>
            <w:shd w:val="clear" w:color="auto" w:fill="auto"/>
            <w:vAlign w:val="center"/>
          </w:tcPr>
          <w:p w14:paraId="69E21298">
            <w:pPr>
              <w:keepNext w:val="0"/>
              <w:keepLines w:val="0"/>
              <w:widowControl w:val="0"/>
              <w:suppressLineNumbers w:val="0"/>
              <w:spacing w:before="0" w:beforeAutospacing="0" w:after="0" w:afterAutospacing="0"/>
              <w:ind w:left="0" w:right="0" w:firstLine="200"/>
              <w:jc w:val="center"/>
              <w:rPr>
                <w:rFonts w:hint="eastAsia" w:ascii="宋体" w:hAnsi="宋体" w:eastAsia="宋体" w:cs="Times New Roman"/>
                <w:color w:val="auto"/>
                <w:kern w:val="2"/>
                <w:sz w:val="24"/>
                <w:szCs w:val="24"/>
                <w:highlight w:val="none"/>
              </w:rPr>
            </w:pPr>
          </w:p>
        </w:tc>
      </w:tr>
    </w:tbl>
    <w:p w14:paraId="4FD8800E">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w:t>
      </w:r>
      <w:r>
        <w:rPr>
          <w:rFonts w:hint="eastAsia" w:ascii="宋体" w:hAnsi="宋体" w:eastAsia="宋体" w:cs="Times New Roman"/>
          <w:b/>
          <w:bCs/>
          <w:color w:val="auto"/>
          <w:kern w:val="2"/>
          <w:sz w:val="24"/>
          <w:szCs w:val="24"/>
          <w:highlight w:val="none"/>
          <w:lang w:val="en-US" w:eastAsia="zh-CN" w:bidi="ar"/>
        </w:rPr>
        <w:t>4 付款方式和发票开具方式</w:t>
      </w:r>
    </w:p>
    <w:p w14:paraId="491BC71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1.4.1付款方式：</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6134B545">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1.4.2发票开具方式：</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5350769A">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w:t>
      </w:r>
      <w:r>
        <w:rPr>
          <w:rFonts w:hint="eastAsia" w:ascii="宋体" w:hAnsi="宋体" w:eastAsia="宋体" w:cs="Times New Roman"/>
          <w:b/>
          <w:bCs/>
          <w:color w:val="auto"/>
          <w:kern w:val="2"/>
          <w:sz w:val="24"/>
          <w:szCs w:val="24"/>
          <w:highlight w:val="none"/>
          <w:lang w:val="en-US" w:eastAsia="zh-CN" w:bidi="ar"/>
        </w:rPr>
        <w:t xml:space="preserve">5 </w:t>
      </w:r>
      <w:r>
        <w:rPr>
          <w:rFonts w:hint="eastAsia" w:ascii="宋体" w:hAnsi="宋体" w:eastAsia="宋体" w:cs="宋体"/>
          <w:b/>
          <w:bCs/>
          <w:color w:val="auto"/>
          <w:kern w:val="2"/>
          <w:sz w:val="24"/>
          <w:szCs w:val="24"/>
          <w:highlight w:val="none"/>
          <w:lang w:val="en-US" w:eastAsia="zh-CN" w:bidi="ar"/>
        </w:rPr>
        <w:t>服务期限、地点和方式</w:t>
      </w:r>
    </w:p>
    <w:p w14:paraId="65C471C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1.5.1服务期限：</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1F57B22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1.5.2服务地点：</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62634D10">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1.5.3服务方式：</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w:t>
      </w:r>
    </w:p>
    <w:p w14:paraId="76B9E5B5">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1.6 违约责任</w:t>
      </w:r>
    </w:p>
    <w:p w14:paraId="59BE7EC9">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lang w:val="en-US" w:eastAsia="zh-CN" w:bidi="ar"/>
        </w:rPr>
        <w:t>%计算</w:t>
      </w:r>
      <w:r>
        <w:rPr>
          <w:rFonts w:hint="eastAsia" w:ascii="宋体" w:hAnsi="宋体" w:eastAsia="宋体" w:cs="宋体"/>
          <w:color w:val="auto"/>
          <w:kern w:val="2"/>
          <w:sz w:val="24"/>
          <w:szCs w:val="24"/>
          <w:highlight w:val="none"/>
          <w:lang w:val="en-US" w:eastAsia="zh-CN" w:bidi="ar"/>
        </w:rPr>
        <w:t>，最高限额为本合同总价的</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；迟延履行的违约金计算数额达到前述最高限额之日起，甲方有权在要求乙方支付违约金的同时，书面通知乙方解除本合同；</w:t>
      </w:r>
    </w:p>
    <w:p w14:paraId="694204C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1.6.2除不可抗力外，如果甲方没有按照本合同约定的付款方式付款，那么乙方可要求甲方支付违约金，违约金按每迟延付款一日的应付而未付款的</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lang w:val="en-US" w:eastAsia="zh-CN" w:bidi="ar"/>
        </w:rPr>
        <w:t>%计算</w:t>
      </w:r>
      <w:r>
        <w:rPr>
          <w:rFonts w:hint="eastAsia" w:ascii="宋体" w:hAnsi="宋体" w:eastAsia="宋体" w:cs="宋体"/>
          <w:color w:val="auto"/>
          <w:kern w:val="2"/>
          <w:sz w:val="24"/>
          <w:szCs w:val="24"/>
          <w:highlight w:val="none"/>
          <w:lang w:val="en-US" w:eastAsia="zh-CN" w:bidi="ar"/>
        </w:rPr>
        <w:t>，最高限额为本合同总价的</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；迟延付款的违约金计算数额达到前述最高限额之日起，乙方有权在要求甲方支付违约金的同时，书面通知甲方解除本合同；</w:t>
      </w:r>
    </w:p>
    <w:p w14:paraId="718E966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B862B6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62718C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5923399">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1.6.6如果出现采购监督管理部门在处理投诉事项期间，书面通知甲方暂停采购活动的情形，或者询问或质疑事项可能影响中标结果的，导致甲方中止履行合同的情形，均不视为甲方违约。</w:t>
      </w:r>
    </w:p>
    <w:p w14:paraId="4C6B29F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lang w:val="en-US" w:eastAsia="zh-CN" w:bidi="ar"/>
        </w:rPr>
        <w:t>1.6.7因甲方未按合同约定支付价款、未按合同约定受领标的物、擅自解除合同</w:t>
      </w:r>
      <w:r>
        <w:rPr>
          <w:rFonts w:hint="eastAsia" w:ascii="宋体" w:hAnsi="宋体" w:eastAsia="宋体" w:cs="宋体"/>
          <w:color w:val="auto"/>
          <w:kern w:val="2"/>
          <w:sz w:val="24"/>
          <w:szCs w:val="24"/>
          <w:highlight w:val="none"/>
          <w:lang w:val="en-US" w:eastAsia="zh-CN" w:bidi="ar"/>
        </w:rPr>
        <w:t>、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54FA5213">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1.7</w:t>
      </w:r>
      <w:r>
        <w:rPr>
          <w:rFonts w:hint="eastAsia" w:ascii="宋体" w:hAnsi="宋体" w:eastAsia="宋体" w:cs="Times New Roman"/>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合同争议的解决</w:t>
      </w:r>
    </w:p>
    <w:p w14:paraId="0D117C5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本合同履行过程中发生的任何争议，双方当事人均可通过和解或者调解解决；不愿和解、调解或者和解、调解不成的，可以选择下列第</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种方式解决：</w:t>
      </w:r>
    </w:p>
    <w:p w14:paraId="54C9116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1.7.1将争议提交</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仲裁委员会依申请仲裁时其现行有效的仲裁规则裁决；</w:t>
      </w:r>
    </w:p>
    <w:p w14:paraId="0CCED50F">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1.7.2向</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人民法院起诉。</w:t>
      </w:r>
    </w:p>
    <w:p w14:paraId="7C72A6FD">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1.8</w:t>
      </w:r>
      <w:r>
        <w:rPr>
          <w:rFonts w:hint="eastAsia" w:ascii="宋体" w:hAnsi="宋体" w:eastAsia="宋体" w:cs="Times New Roman"/>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合同生效</w:t>
      </w:r>
    </w:p>
    <w:p w14:paraId="1836A4E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本合同自双方当事人盖章时生效。</w:t>
      </w:r>
    </w:p>
    <w:p w14:paraId="2EEC3291">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宋体" w:hAnsi="宋体" w:eastAsia="宋体" w:cs="Times New Roman"/>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甲</w:t>
      </w:r>
      <w:r>
        <w:rPr>
          <w:rFonts w:hint="eastAsia" w:ascii="宋体" w:hAnsi="宋体" w:eastAsia="宋体" w:cs="Times New Roman"/>
          <w:bCs/>
          <w:color w:val="auto"/>
          <w:kern w:val="2"/>
          <w:sz w:val="24"/>
          <w:szCs w:val="24"/>
          <w:highlight w:val="none"/>
          <w:lang w:val="en-US" w:eastAsia="zh-CN" w:bidi="ar"/>
        </w:rPr>
        <w:t xml:space="preserve">    </w:t>
      </w:r>
      <w:r>
        <w:rPr>
          <w:rFonts w:hint="eastAsia" w:ascii="宋体" w:hAnsi="宋体" w:eastAsia="宋体" w:cs="宋体"/>
          <w:bCs/>
          <w:color w:val="auto"/>
          <w:kern w:val="2"/>
          <w:sz w:val="24"/>
          <w:szCs w:val="24"/>
          <w:highlight w:val="none"/>
          <w:lang w:val="en-US" w:eastAsia="zh-CN" w:bidi="ar"/>
        </w:rPr>
        <w:t>方：</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u w:val="single"/>
          <w:lang w:val="en-US" w:eastAsia="zh-CN" w:bidi="ar"/>
        </w:rPr>
        <w:t>（单位盖章）</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Times New Roman"/>
          <w:bCs/>
          <w:color w:val="auto"/>
          <w:kern w:val="2"/>
          <w:sz w:val="24"/>
          <w:szCs w:val="24"/>
          <w:highlight w:val="none"/>
          <w:lang w:val="en-US" w:eastAsia="zh-CN" w:bidi="ar"/>
        </w:rPr>
        <w:t xml:space="preserve">          </w:t>
      </w:r>
      <w:r>
        <w:rPr>
          <w:rFonts w:hint="eastAsia" w:ascii="宋体" w:hAnsi="宋体" w:eastAsia="宋体" w:cs="宋体"/>
          <w:bCs/>
          <w:color w:val="auto"/>
          <w:kern w:val="2"/>
          <w:sz w:val="24"/>
          <w:szCs w:val="24"/>
          <w:highlight w:val="none"/>
          <w:lang w:val="en-US" w:eastAsia="zh-CN" w:bidi="ar"/>
        </w:rPr>
        <w:t>乙方：</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u w:val="single"/>
          <w:lang w:val="en-US" w:eastAsia="zh-CN" w:bidi="ar"/>
        </w:rPr>
        <w:t>（单位盖章）</w:t>
      </w:r>
      <w:r>
        <w:rPr>
          <w:rFonts w:hint="eastAsia" w:ascii="宋体" w:hAnsi="宋体" w:eastAsia="宋体" w:cs="Times New Roman"/>
          <w:bCs/>
          <w:color w:val="auto"/>
          <w:kern w:val="2"/>
          <w:sz w:val="24"/>
          <w:szCs w:val="24"/>
          <w:highlight w:val="none"/>
          <w:u w:val="single"/>
          <w:lang w:val="en-US" w:eastAsia="zh-CN" w:bidi="ar"/>
        </w:rPr>
        <w:t xml:space="preserve">     </w:t>
      </w:r>
    </w:p>
    <w:p w14:paraId="43B35836">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法定代表人</w:t>
      </w:r>
      <w:r>
        <w:rPr>
          <w:rFonts w:hint="eastAsia" w:ascii="宋体" w:hAnsi="宋体" w:eastAsia="宋体" w:cs="Times New Roman"/>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法定代表人</w:t>
      </w:r>
    </w:p>
    <w:p w14:paraId="517858ED">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或授权代表（签字）：</w:t>
      </w:r>
      <w:r>
        <w:rPr>
          <w:rFonts w:hint="eastAsia" w:ascii="宋体" w:hAnsi="宋体" w:eastAsia="宋体" w:cs="Times New Roman"/>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或授权代表（签字）：</w:t>
      </w:r>
    </w:p>
    <w:p w14:paraId="172D57A9">
      <w:pPr>
        <w:keepNext w:val="0"/>
        <w:keepLines w:val="0"/>
        <w:widowControl/>
        <w:suppressLineNumbers w:val="0"/>
        <w:spacing w:before="0" w:beforeAutospacing="0" w:after="0" w:afterAutospacing="0" w:line="560" w:lineRule="exact"/>
        <w:ind w:left="0" w:right="0"/>
        <w:jc w:val="left"/>
        <w:rPr>
          <w:rFonts w:hint="eastAsia" w:ascii="宋体" w:hAnsi="宋体" w:eastAsia="宋体" w:cs="Times New Roman"/>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时间：</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lang w:val="en-US" w:eastAsia="zh-CN" w:bidi="ar"/>
        </w:rPr>
        <w:t>年</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lang w:val="en-US" w:eastAsia="zh-CN" w:bidi="ar"/>
        </w:rPr>
        <w:t>月</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lang w:val="en-US" w:eastAsia="zh-CN" w:bidi="ar"/>
        </w:rPr>
        <w:t>日</w:t>
      </w:r>
      <w:r>
        <w:rPr>
          <w:rFonts w:hint="eastAsia" w:ascii="宋体" w:hAnsi="宋体" w:eastAsia="宋体" w:cs="Times New Roman"/>
          <w:bCs/>
          <w:color w:val="auto"/>
          <w:kern w:val="2"/>
          <w:sz w:val="24"/>
          <w:szCs w:val="24"/>
          <w:highlight w:val="none"/>
          <w:lang w:val="en-US" w:eastAsia="zh-CN" w:bidi="ar"/>
        </w:rPr>
        <w:t xml:space="preserve">               </w:t>
      </w:r>
      <w:r>
        <w:rPr>
          <w:rFonts w:hint="eastAsia" w:ascii="宋体" w:hAnsi="宋体" w:eastAsia="宋体" w:cs="宋体"/>
          <w:bCs/>
          <w:color w:val="auto"/>
          <w:kern w:val="2"/>
          <w:sz w:val="24"/>
          <w:szCs w:val="24"/>
          <w:highlight w:val="none"/>
          <w:lang w:val="en-US" w:eastAsia="zh-CN" w:bidi="ar"/>
        </w:rPr>
        <w:t>时间：</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lang w:val="en-US" w:eastAsia="zh-CN" w:bidi="ar"/>
        </w:rPr>
        <w:t>年</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lang w:val="en-US" w:eastAsia="zh-CN" w:bidi="ar"/>
        </w:rPr>
        <w:t>月</w:t>
      </w:r>
      <w:r>
        <w:rPr>
          <w:rFonts w:hint="eastAsia" w:ascii="宋体" w:hAnsi="宋体" w:eastAsia="宋体" w:cs="Times New Roman"/>
          <w:bCs/>
          <w:color w:val="auto"/>
          <w:kern w:val="2"/>
          <w:sz w:val="24"/>
          <w:szCs w:val="24"/>
          <w:highlight w:val="none"/>
          <w:u w:val="single"/>
          <w:lang w:val="en-US" w:eastAsia="zh-CN" w:bidi="ar"/>
        </w:rPr>
        <w:t xml:space="preserve">    </w:t>
      </w:r>
      <w:r>
        <w:rPr>
          <w:rFonts w:hint="eastAsia" w:ascii="宋体" w:hAnsi="宋体" w:eastAsia="宋体" w:cs="宋体"/>
          <w:bCs/>
          <w:color w:val="auto"/>
          <w:kern w:val="2"/>
          <w:sz w:val="24"/>
          <w:szCs w:val="24"/>
          <w:highlight w:val="none"/>
          <w:lang w:val="en-US" w:eastAsia="zh-CN" w:bidi="ar"/>
        </w:rPr>
        <w:t>日</w:t>
      </w:r>
    </w:p>
    <w:p w14:paraId="445B57DB">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乙方账户信息</w:t>
      </w:r>
    </w:p>
    <w:p w14:paraId="1A88534C">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户名：</w:t>
      </w:r>
      <w:r>
        <w:rPr>
          <w:rFonts w:hint="eastAsia" w:ascii="宋体" w:hAnsi="宋体" w:eastAsia="宋体" w:cs="@仿宋_GB2312"/>
          <w:color w:val="auto"/>
          <w:kern w:val="2"/>
          <w:sz w:val="24"/>
          <w:szCs w:val="24"/>
          <w:highlight w:val="none"/>
          <w:u w:val="single"/>
          <w:lang w:val="en-US" w:eastAsia="zh-CN" w:bidi="ar"/>
        </w:rPr>
        <w:t xml:space="preserve">            </w:t>
      </w:r>
    </w:p>
    <w:p w14:paraId="668C1EA9">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账号：</w:t>
      </w:r>
      <w:r>
        <w:rPr>
          <w:rFonts w:hint="eastAsia" w:ascii="宋体" w:hAnsi="宋体" w:eastAsia="宋体" w:cs="@仿宋_GB2312"/>
          <w:color w:val="auto"/>
          <w:kern w:val="2"/>
          <w:sz w:val="24"/>
          <w:szCs w:val="24"/>
          <w:highlight w:val="none"/>
          <w:u w:val="single"/>
          <w:lang w:val="en-US" w:eastAsia="zh-CN" w:bidi="ar"/>
        </w:rPr>
        <w:t xml:space="preserve">            </w:t>
      </w:r>
    </w:p>
    <w:p w14:paraId="03F0554F">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开户银行：</w:t>
      </w:r>
      <w:r>
        <w:rPr>
          <w:rFonts w:hint="eastAsia" w:ascii="宋体" w:hAnsi="宋体" w:eastAsia="宋体" w:cs="@仿宋_GB2312"/>
          <w:color w:val="auto"/>
          <w:kern w:val="2"/>
          <w:sz w:val="24"/>
          <w:szCs w:val="24"/>
          <w:highlight w:val="none"/>
          <w:u w:val="single"/>
          <w:lang w:val="en-US" w:eastAsia="zh-CN" w:bidi="ar"/>
        </w:rPr>
        <w:t xml:space="preserve">        </w:t>
      </w:r>
    </w:p>
    <w:p w14:paraId="4D3CE673">
      <w:pPr>
        <w:keepNext w:val="0"/>
        <w:keepLines w:val="0"/>
        <w:widowControl/>
        <w:suppressLineNumbers w:val="0"/>
        <w:spacing w:before="0" w:beforeAutospacing="0" w:after="0" w:afterAutospacing="0"/>
        <w:ind w:left="0" w:right="0"/>
        <w:jc w:val="left"/>
        <w:rPr>
          <w:rFonts w:hint="eastAsia" w:ascii="宋体" w:hAnsi="宋体" w:eastAsia="宋体" w:cs="Times New Roman"/>
          <w:b/>
          <w:bCs w:val="0"/>
          <w:color w:val="auto"/>
          <w:kern w:val="2"/>
          <w:sz w:val="24"/>
          <w:szCs w:val="24"/>
          <w:highlight w:val="none"/>
        </w:rPr>
      </w:pPr>
      <w:r>
        <w:rPr>
          <w:rFonts w:hint="eastAsia" w:ascii="宋体" w:hAnsi="宋体" w:eastAsia="宋体" w:cs="Times New Roman"/>
          <w:b/>
          <w:bCs w:val="0"/>
          <w:color w:val="auto"/>
          <w:kern w:val="2"/>
          <w:sz w:val="24"/>
          <w:szCs w:val="24"/>
          <w:highlight w:val="none"/>
          <w:lang w:val="en-US" w:eastAsia="zh-CN" w:bidi="ar"/>
        </w:rPr>
        <w:br w:type="page"/>
      </w:r>
    </w:p>
    <w:p w14:paraId="1FBFBD85">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仿宋_GB2312"/>
          <w:b/>
          <w:bCs w:val="0"/>
          <w:color w:val="auto"/>
          <w:kern w:val="2"/>
          <w:sz w:val="24"/>
          <w:szCs w:val="24"/>
          <w:highlight w:val="none"/>
        </w:rPr>
      </w:pPr>
      <w:bookmarkStart w:id="67" w:name="_Toc18473"/>
      <w:r>
        <w:rPr>
          <w:rFonts w:hint="eastAsia" w:ascii="宋体" w:hAnsi="宋体" w:eastAsia="宋体" w:cs="宋体"/>
          <w:b/>
          <w:bCs w:val="0"/>
          <w:color w:val="auto"/>
          <w:kern w:val="2"/>
          <w:sz w:val="24"/>
          <w:szCs w:val="24"/>
          <w:highlight w:val="none"/>
          <w:lang w:val="en-US" w:eastAsia="zh-CN" w:bidi="ar"/>
        </w:rPr>
        <w:t>第二部分</w:t>
      </w:r>
      <w:r>
        <w:rPr>
          <w:rFonts w:hint="eastAsia" w:ascii="宋体" w:hAnsi="宋体" w:eastAsia="宋体" w:cs="@仿宋_GB2312"/>
          <w:b/>
          <w:bCs w:val="0"/>
          <w:color w:val="auto"/>
          <w:kern w:val="2"/>
          <w:sz w:val="24"/>
          <w:szCs w:val="24"/>
          <w:highlight w:val="none"/>
          <w:lang w:val="en-US" w:eastAsia="zh-CN" w:bidi="ar"/>
        </w:rPr>
        <w:t xml:space="preserve"> </w:t>
      </w:r>
      <w:r>
        <w:rPr>
          <w:rFonts w:hint="eastAsia" w:ascii="宋体" w:hAnsi="宋体" w:eastAsia="宋体" w:cs="宋体"/>
          <w:b/>
          <w:bCs w:val="0"/>
          <w:color w:val="auto"/>
          <w:kern w:val="2"/>
          <w:sz w:val="24"/>
          <w:szCs w:val="24"/>
          <w:highlight w:val="none"/>
          <w:lang w:val="en-US" w:eastAsia="zh-CN" w:bidi="ar"/>
        </w:rPr>
        <w:t>合同一般条款</w:t>
      </w:r>
      <w:bookmarkEnd w:id="67"/>
    </w:p>
    <w:p w14:paraId="74CAA190">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2.1</w:t>
      </w:r>
      <w:r>
        <w:rPr>
          <w:rFonts w:hint="eastAsia" w:ascii="宋体" w:hAnsi="宋体" w:eastAsia="宋体" w:cs="Times New Roman"/>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定义</w:t>
      </w:r>
    </w:p>
    <w:p w14:paraId="30CE8D1B">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本合同中的下列词语应按以下内容进行解释：</w:t>
      </w:r>
    </w:p>
    <w:p w14:paraId="0464B99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.1“合同”系指采购人和中标人签订的载明双方当事人所达成的协议，并包括所有的附件、附录和构成合同的其他文件。</w:t>
      </w:r>
    </w:p>
    <w:p w14:paraId="19B8091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1.2“合同价”系指根据合同约定，中标人在完全履行合同义务后</w:t>
      </w:r>
      <w:r>
        <w:rPr>
          <w:rFonts w:hint="eastAsia" w:ascii="宋体" w:hAnsi="宋体" w:eastAsia="宋体" w:cs="宋体"/>
          <w:color w:val="auto"/>
          <w:kern w:val="2"/>
          <w:sz w:val="24"/>
          <w:szCs w:val="24"/>
          <w:highlight w:val="none"/>
          <w:lang w:val="en-US" w:eastAsia="zh-CN" w:bidi="ar"/>
        </w:rPr>
        <w:t>，采购人应支付给中标人的价格。</w:t>
      </w:r>
    </w:p>
    <w:p w14:paraId="271273E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1.3“</w:t>
      </w:r>
      <w:r>
        <w:rPr>
          <w:rFonts w:hint="eastAsia" w:ascii="宋体" w:hAnsi="宋体" w:eastAsia="宋体" w:cs="宋体"/>
          <w:color w:val="auto"/>
          <w:kern w:val="2"/>
          <w:sz w:val="24"/>
          <w:szCs w:val="24"/>
          <w:highlight w:val="none"/>
          <w:lang w:val="en-US" w:eastAsia="zh-CN" w:bidi="ar"/>
        </w:rPr>
        <w:t>服务”系指中标人根据合同约定应向采购人履行的除货物和工程以外的其他采购对象，包括采购人自身需要的服务和向社会公众提供的公共服务。</w:t>
      </w:r>
    </w:p>
    <w:p w14:paraId="5F3BC9B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4“甲方”系指与中标人签署合同的采购人；采购人委托采购代理机构代表其与乙方签订合同的，采购人的授权委托书作为合同附件。</w:t>
      </w:r>
    </w:p>
    <w:p w14:paraId="733C41E0">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5“乙方”系指根据合同约定提供服务的中标人；两个以上的自然人、法人或者其他组织组成一个联合体，以一个供应商的身份共同参加采购的，联合体各方均应为乙方或者与乙方相同地位的合同当事人，并就合同约定的事项对甲方承担连带责任。</w:t>
      </w:r>
    </w:p>
    <w:p w14:paraId="332A82D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6“现场”系指合同约定提供服务的地点。</w:t>
      </w:r>
    </w:p>
    <w:p w14:paraId="65AA9D29">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2 技术规范</w:t>
      </w:r>
    </w:p>
    <w:p w14:paraId="15368CA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货物所应遵守的技术规范应与采购文件规定的技术规范和技术规范附件</w:t>
      </w:r>
      <w:r>
        <w:rPr>
          <w:rFonts w:hint="eastAsia" w:ascii="宋体" w:hAnsi="宋体" w:eastAsia="宋体" w:cs="Times New Roman"/>
          <w:color w:val="auto"/>
          <w:kern w:val="2"/>
          <w:sz w:val="24"/>
          <w:szCs w:val="24"/>
          <w:highlight w:val="none"/>
          <w:lang w:val="en-US" w:eastAsia="zh-CN" w:bidi="ar"/>
        </w:rPr>
        <w:t>(如果有的话)及其技术规范偏差表(如果被甲方接受的话)相一致</w:t>
      </w:r>
      <w:r>
        <w:rPr>
          <w:rFonts w:hint="eastAsia" w:ascii="宋体" w:hAnsi="宋体" w:eastAsia="宋体" w:cs="宋体"/>
          <w:color w:val="auto"/>
          <w:kern w:val="2"/>
          <w:sz w:val="24"/>
          <w:szCs w:val="24"/>
          <w:highlight w:val="none"/>
          <w:lang w:val="en-US" w:eastAsia="zh-CN" w:bidi="ar"/>
        </w:rPr>
        <w:t>；如果采购文件中没有技术规范的相应说明，那么应以国家有关部门最新颁布的相应标准和规范为准。</w:t>
      </w:r>
    </w:p>
    <w:p w14:paraId="3C53808B">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3 知识产权</w:t>
      </w:r>
    </w:p>
    <w:p w14:paraId="103DEA9C">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4D9B58A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2.3.2具有知识产权的计算机软件等货物的知识产权归属，详见</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w:t>
      </w:r>
    </w:p>
    <w:p w14:paraId="6AEFB1B9">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4 </w:t>
      </w:r>
      <w:r>
        <w:rPr>
          <w:rFonts w:hint="eastAsia" w:ascii="宋体" w:hAnsi="宋体" w:eastAsia="宋体" w:cs="宋体"/>
          <w:b/>
          <w:bCs/>
          <w:color w:val="auto"/>
          <w:kern w:val="2"/>
          <w:sz w:val="24"/>
          <w:szCs w:val="24"/>
          <w:highlight w:val="none"/>
          <w:lang w:val="en-US" w:eastAsia="zh-CN" w:bidi="ar"/>
        </w:rPr>
        <w:t>履约检查和问题反馈</w:t>
      </w:r>
    </w:p>
    <w:p w14:paraId="5B8D506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2.4</w:t>
      </w:r>
      <w:r>
        <w:rPr>
          <w:rFonts w:hint="eastAsia" w:ascii="宋体" w:hAnsi="宋体" w:eastAsia="宋体" w:cs="Times New Roman"/>
          <w:color w:val="auto"/>
          <w:kern w:val="2"/>
          <w:sz w:val="24"/>
          <w:szCs w:val="24"/>
          <w:highlight w:val="none"/>
          <w:lang w:val="en-US" w:eastAsia="zh-CN" w:bidi="ar"/>
        </w:rPr>
        <w:t>.1甲方</w:t>
      </w:r>
      <w:r>
        <w:rPr>
          <w:rFonts w:hint="eastAsia" w:ascii="宋体" w:hAnsi="宋体" w:eastAsia="宋体" w:cs="宋体"/>
          <w:color w:val="auto"/>
          <w:kern w:val="2"/>
          <w:sz w:val="24"/>
          <w:szCs w:val="24"/>
          <w:highlight w:val="none"/>
          <w:lang w:val="en-US" w:eastAsia="zh-CN" w:bidi="ar"/>
        </w:rPr>
        <w:t>有权在其认为必要时，对乙方是否能够按照合同约定提供服务进行履约检查，以确保乙方所提供的服务能够依约满足甲方项目需求，但不得因履约检查妨碍乙方的正常工作，乙方应予积极配合；</w:t>
      </w:r>
    </w:p>
    <w:p w14:paraId="65EE0739">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4</w:t>
      </w:r>
      <w:r>
        <w:rPr>
          <w:rFonts w:hint="eastAsia" w:ascii="宋体" w:hAnsi="宋体" w:eastAsia="宋体" w:cs="宋体"/>
          <w:color w:val="auto"/>
          <w:kern w:val="2"/>
          <w:sz w:val="24"/>
          <w:szCs w:val="24"/>
          <w:highlight w:val="none"/>
          <w:lang w:val="en-US" w:eastAsia="zh-CN" w:bidi="ar"/>
        </w:rPr>
        <w:t>.2合同履行期间，甲方有权将履行过程中出现的问题反馈给乙方，双方当事人应以书面形式约定需要完善和改进的内容。</w:t>
      </w:r>
    </w:p>
    <w:p w14:paraId="4B231330">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5 </w:t>
      </w:r>
      <w:r>
        <w:rPr>
          <w:rFonts w:hint="eastAsia" w:ascii="宋体" w:hAnsi="宋体" w:eastAsia="宋体" w:cs="宋体"/>
          <w:b/>
          <w:bCs/>
          <w:color w:val="auto"/>
          <w:kern w:val="2"/>
          <w:sz w:val="24"/>
          <w:szCs w:val="24"/>
          <w:highlight w:val="none"/>
          <w:lang w:val="en-US" w:eastAsia="zh-CN" w:bidi="ar"/>
        </w:rPr>
        <w:t>结算方式和付款条件</w:t>
      </w:r>
    </w:p>
    <w:p w14:paraId="3F6D4E1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详见</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w:t>
      </w:r>
    </w:p>
    <w:p w14:paraId="42DB7BCA">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6 </w:t>
      </w:r>
      <w:r>
        <w:rPr>
          <w:rFonts w:hint="eastAsia" w:ascii="宋体" w:hAnsi="宋体" w:eastAsia="宋体" w:cs="宋体"/>
          <w:b/>
          <w:bCs/>
          <w:color w:val="auto"/>
          <w:kern w:val="2"/>
          <w:sz w:val="24"/>
          <w:szCs w:val="24"/>
          <w:highlight w:val="none"/>
          <w:lang w:val="en-US" w:eastAsia="zh-CN" w:bidi="ar"/>
        </w:rPr>
        <w:t>技术资料和保密义务</w:t>
      </w:r>
    </w:p>
    <w:p w14:paraId="611B4B66">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6.1</w:t>
      </w:r>
      <w:r>
        <w:rPr>
          <w:rFonts w:hint="eastAsia" w:ascii="宋体" w:hAnsi="宋体" w:eastAsia="宋体" w:cs="宋体"/>
          <w:color w:val="auto"/>
          <w:kern w:val="2"/>
          <w:sz w:val="24"/>
          <w:szCs w:val="24"/>
          <w:highlight w:val="none"/>
          <w:lang w:val="en-US" w:eastAsia="zh-CN" w:bidi="ar"/>
        </w:rPr>
        <w:t>乙方有权依据合同约定和项目需要，向甲方了解有关情况，调阅有关资料等，甲方应予积极配合；</w:t>
      </w:r>
    </w:p>
    <w:p w14:paraId="0F94E6D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.2乙方有义务妥善保管和保护由甲方提供的前款信息和资料等；</w:t>
      </w:r>
    </w:p>
    <w:p w14:paraId="700680B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0B389A6">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val="en-US" w:eastAsia="zh-CN" w:bidi="ar"/>
        </w:rPr>
        <w:t>2.7 质量保证</w:t>
      </w:r>
    </w:p>
    <w:p w14:paraId="46F713B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7</w:t>
      </w:r>
      <w:r>
        <w:rPr>
          <w:rFonts w:hint="eastAsia" w:ascii="宋体" w:hAnsi="宋体" w:eastAsia="宋体" w:cs="宋体"/>
          <w:color w:val="auto"/>
          <w:kern w:val="2"/>
          <w:sz w:val="24"/>
          <w:szCs w:val="24"/>
          <w:highlight w:val="none"/>
          <w:lang w:val="en-US" w:eastAsia="zh-CN" w:bidi="ar"/>
        </w:rPr>
        <w:t>.1乙方应建立和完善履行合同的内部质量保证体系，并提供相关内部规章制度给甲方，以便甲方进行监督检查；</w:t>
      </w:r>
    </w:p>
    <w:p w14:paraId="2C10B09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7</w:t>
      </w:r>
      <w:r>
        <w:rPr>
          <w:rFonts w:hint="eastAsia" w:ascii="宋体" w:hAnsi="宋体" w:eastAsia="宋体" w:cs="宋体"/>
          <w:color w:val="auto"/>
          <w:kern w:val="2"/>
          <w:sz w:val="24"/>
          <w:szCs w:val="24"/>
          <w:highlight w:val="none"/>
          <w:lang w:val="en-US" w:eastAsia="zh-CN" w:bidi="ar"/>
        </w:rPr>
        <w:t>.2乙方应保证履行合同的人员数量和素质、软件和硬件设备的配置、场地、环境和设施等满足全面履行合同的要求，并应接受甲方的监督检查。</w:t>
      </w:r>
    </w:p>
    <w:p w14:paraId="2A3C9C33">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2.8 延迟履行</w:t>
      </w:r>
    </w:p>
    <w:p w14:paraId="0E7E13E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A33D89D">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Times New Roman"/>
          <w:b/>
          <w:bCs/>
          <w:color w:val="auto"/>
          <w:kern w:val="2"/>
          <w:sz w:val="24"/>
          <w:szCs w:val="24"/>
          <w:highlight w:val="none"/>
          <w:lang w:val="en-US" w:eastAsia="zh-CN" w:bidi="ar"/>
        </w:rPr>
        <w:t>2.9 合同变更</w:t>
      </w:r>
    </w:p>
    <w:p w14:paraId="1454A02C">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9</w:t>
      </w:r>
      <w:r>
        <w:rPr>
          <w:rFonts w:hint="eastAsia" w:ascii="宋体" w:hAnsi="宋体" w:eastAsia="宋体" w:cs="宋体"/>
          <w:color w:val="auto"/>
          <w:kern w:val="2"/>
          <w:sz w:val="24"/>
          <w:szCs w:val="24"/>
          <w:highlight w:val="none"/>
          <w:lang w:val="en-US" w:eastAsia="zh-CN" w:bidi="ar"/>
        </w:rPr>
        <w:t>.1双方当事人协商一致，可以签订书面补充合同的形式变更合同，但不得违背采购文件确定的事项；</w:t>
      </w:r>
    </w:p>
    <w:p w14:paraId="358EF0BA">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9</w:t>
      </w:r>
      <w:r>
        <w:rPr>
          <w:rFonts w:hint="eastAsia" w:ascii="宋体" w:hAnsi="宋体" w:eastAsia="宋体" w:cs="宋体"/>
          <w:color w:val="auto"/>
          <w:kern w:val="2"/>
          <w:sz w:val="24"/>
          <w:szCs w:val="24"/>
          <w:highlight w:val="none"/>
          <w:lang w:val="en-US" w:eastAsia="zh-CN" w:bidi="ar"/>
        </w:rPr>
        <w:t>.2合同继续履行将损害国家利益和社会公共利益的，双方当事人应当以书面形式变更合同。有过错的一方应当承担赔偿责任，双方当事人都有过错的，各自承担相应的责任。</w:t>
      </w:r>
    </w:p>
    <w:p w14:paraId="246255AB">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2.1</w:t>
      </w:r>
      <w:r>
        <w:rPr>
          <w:rFonts w:hint="eastAsia" w:ascii="宋体" w:hAnsi="宋体" w:eastAsia="宋体" w:cs="Times New Roman"/>
          <w:b/>
          <w:bCs/>
          <w:color w:val="auto"/>
          <w:kern w:val="2"/>
          <w:sz w:val="24"/>
          <w:szCs w:val="24"/>
          <w:highlight w:val="none"/>
          <w:lang w:val="en-US" w:eastAsia="zh-CN" w:bidi="ar"/>
        </w:rPr>
        <w:t xml:space="preserve">0 </w:t>
      </w:r>
      <w:r>
        <w:rPr>
          <w:rFonts w:hint="eastAsia" w:ascii="宋体" w:hAnsi="宋体" w:eastAsia="宋体" w:cs="宋体"/>
          <w:b/>
          <w:bCs/>
          <w:color w:val="auto"/>
          <w:kern w:val="2"/>
          <w:sz w:val="24"/>
          <w:szCs w:val="24"/>
          <w:highlight w:val="none"/>
          <w:lang w:val="en-US" w:eastAsia="zh-CN" w:bidi="ar"/>
        </w:rPr>
        <w:t>合同转让和分包</w:t>
      </w:r>
    </w:p>
    <w:p w14:paraId="3B7E358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AF4D9A">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2.1</w:t>
      </w:r>
      <w:r>
        <w:rPr>
          <w:rFonts w:hint="eastAsia" w:ascii="宋体" w:hAnsi="宋体" w:eastAsia="宋体" w:cs="Times New Roman"/>
          <w:b/>
          <w:bCs/>
          <w:color w:val="auto"/>
          <w:kern w:val="2"/>
          <w:sz w:val="24"/>
          <w:szCs w:val="24"/>
          <w:highlight w:val="none"/>
          <w:lang w:val="en-US" w:eastAsia="zh-CN" w:bidi="ar"/>
        </w:rPr>
        <w:t>1 不可抗力</w:t>
      </w:r>
    </w:p>
    <w:p w14:paraId="79F08D9D">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w:t>
      </w:r>
      <w:r>
        <w:rPr>
          <w:rFonts w:hint="eastAsia" w:ascii="宋体" w:hAnsi="宋体" w:eastAsia="宋体" w:cs="Times New Roman"/>
          <w:color w:val="auto"/>
          <w:kern w:val="2"/>
          <w:sz w:val="24"/>
          <w:szCs w:val="24"/>
          <w:highlight w:val="none"/>
          <w:lang w:val="en-US" w:eastAsia="zh-CN" w:bidi="ar"/>
        </w:rPr>
        <w:t>1.1如果任何一方遭遇法律规定的不可抗力，致使合同履行受阻时，履行合同的期限应予延长，延长的期限应相当于不可抗力所影响的时间</w:t>
      </w:r>
      <w:r>
        <w:rPr>
          <w:rFonts w:hint="eastAsia" w:ascii="宋体" w:hAnsi="宋体" w:eastAsia="宋体" w:cs="宋体"/>
          <w:color w:val="auto"/>
          <w:kern w:val="2"/>
          <w:sz w:val="24"/>
          <w:szCs w:val="24"/>
          <w:highlight w:val="none"/>
          <w:lang w:val="en-US" w:eastAsia="zh-CN" w:bidi="ar"/>
        </w:rPr>
        <w:t>；</w:t>
      </w:r>
    </w:p>
    <w:p w14:paraId="12049F2C">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.2因不可抗力致使不能实现合同目的的，当事人可以解除合同；</w:t>
      </w:r>
    </w:p>
    <w:p w14:paraId="085948B1">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.3因不可抗力致使合同有变更必要的，双方当事人应在</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约定时间内以书面形式变更合同；</w:t>
      </w:r>
    </w:p>
    <w:p w14:paraId="506C730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4受不可抗力影响的一方在不可抗力发生后，应在</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约定时间内以书面形式通知对方当事人，并在</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约定时间内，将有关部门出具的证明文件送达对方当事人。</w:t>
      </w:r>
    </w:p>
    <w:p w14:paraId="683C85FA">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12 </w:t>
      </w:r>
      <w:r>
        <w:rPr>
          <w:rFonts w:hint="eastAsia" w:ascii="宋体" w:hAnsi="宋体" w:eastAsia="宋体" w:cs="宋体"/>
          <w:b/>
          <w:bCs/>
          <w:color w:val="auto"/>
          <w:kern w:val="2"/>
          <w:sz w:val="24"/>
          <w:szCs w:val="24"/>
          <w:highlight w:val="none"/>
          <w:lang w:val="en-US" w:eastAsia="zh-CN" w:bidi="ar"/>
        </w:rPr>
        <w:t>税费</w:t>
      </w:r>
    </w:p>
    <w:p w14:paraId="6829083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与合同有关的一切税费，均按照中华人民共和国法律的相关规定缴纳。</w:t>
      </w:r>
    </w:p>
    <w:p w14:paraId="6472CAAF">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13 </w:t>
      </w:r>
      <w:r>
        <w:rPr>
          <w:rFonts w:hint="eastAsia" w:ascii="宋体" w:hAnsi="宋体" w:eastAsia="宋体" w:cs="宋体"/>
          <w:b/>
          <w:bCs/>
          <w:color w:val="auto"/>
          <w:kern w:val="2"/>
          <w:sz w:val="24"/>
          <w:szCs w:val="24"/>
          <w:highlight w:val="none"/>
          <w:lang w:val="en-US" w:eastAsia="zh-CN" w:bidi="ar"/>
        </w:rPr>
        <w:t>乙方破产</w:t>
      </w:r>
    </w:p>
    <w:p w14:paraId="4C10B56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B3D21C5">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val="0"/>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2.1</w:t>
      </w:r>
      <w:r>
        <w:rPr>
          <w:rFonts w:hint="eastAsia" w:ascii="宋体" w:hAnsi="宋体" w:eastAsia="宋体" w:cs="Times New Roman"/>
          <w:b/>
          <w:bCs/>
          <w:color w:val="auto"/>
          <w:kern w:val="2"/>
          <w:sz w:val="24"/>
          <w:szCs w:val="24"/>
          <w:highlight w:val="none"/>
          <w:lang w:val="en-US" w:eastAsia="zh-CN" w:bidi="ar"/>
        </w:rPr>
        <w:t xml:space="preserve">4 </w:t>
      </w:r>
      <w:r>
        <w:rPr>
          <w:rFonts w:hint="eastAsia" w:ascii="宋体" w:hAnsi="宋体" w:eastAsia="宋体" w:cs="宋体"/>
          <w:b/>
          <w:bCs/>
          <w:color w:val="auto"/>
          <w:kern w:val="2"/>
          <w:sz w:val="24"/>
          <w:szCs w:val="24"/>
          <w:highlight w:val="none"/>
          <w:lang w:val="en-US" w:eastAsia="zh-CN" w:bidi="ar"/>
        </w:rPr>
        <w:t>合同中止、终止</w:t>
      </w:r>
    </w:p>
    <w:p w14:paraId="35506934">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w:t>
      </w:r>
      <w:r>
        <w:rPr>
          <w:rFonts w:hint="eastAsia" w:ascii="宋体" w:hAnsi="宋体" w:eastAsia="宋体" w:cs="Times New Roman"/>
          <w:color w:val="auto"/>
          <w:kern w:val="2"/>
          <w:sz w:val="24"/>
          <w:szCs w:val="24"/>
          <w:highlight w:val="none"/>
          <w:lang w:val="en-US" w:eastAsia="zh-CN" w:bidi="ar"/>
        </w:rPr>
        <w:t>4</w:t>
      </w:r>
      <w:r>
        <w:rPr>
          <w:rFonts w:hint="eastAsia" w:ascii="宋体" w:hAnsi="宋体" w:eastAsia="宋体" w:cs="宋体"/>
          <w:color w:val="auto"/>
          <w:kern w:val="2"/>
          <w:sz w:val="24"/>
          <w:szCs w:val="24"/>
          <w:highlight w:val="none"/>
          <w:lang w:val="en-US" w:eastAsia="zh-CN" w:bidi="ar"/>
        </w:rPr>
        <w:t>.1双方当事人不得擅自中止或者终止合同；</w:t>
      </w:r>
    </w:p>
    <w:p w14:paraId="40D78CE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w:t>
      </w:r>
      <w:r>
        <w:rPr>
          <w:rFonts w:hint="eastAsia" w:ascii="宋体" w:hAnsi="宋体" w:eastAsia="宋体" w:cs="Times New Roman"/>
          <w:color w:val="auto"/>
          <w:kern w:val="2"/>
          <w:sz w:val="24"/>
          <w:szCs w:val="24"/>
          <w:highlight w:val="none"/>
          <w:lang w:val="en-US" w:eastAsia="zh-CN" w:bidi="ar"/>
        </w:rPr>
        <w:t>4</w:t>
      </w:r>
      <w:r>
        <w:rPr>
          <w:rFonts w:hint="eastAsia" w:ascii="宋体" w:hAnsi="宋体" w:eastAsia="宋体" w:cs="宋体"/>
          <w:color w:val="auto"/>
          <w:kern w:val="2"/>
          <w:sz w:val="24"/>
          <w:szCs w:val="24"/>
          <w:highlight w:val="none"/>
          <w:lang w:val="en-US" w:eastAsia="zh-CN" w:bidi="ar"/>
        </w:rPr>
        <w:t>.2合同继续履行将损害国家利益和社会公共利益的，双方当事人应当中止或者终止合同。有过错的一方应当承担赔偿责任，双方当事人都有过错的，各自承担相应的责任。</w:t>
      </w:r>
    </w:p>
    <w:p w14:paraId="78613568">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2.1</w:t>
      </w:r>
      <w:r>
        <w:rPr>
          <w:rFonts w:hint="eastAsia" w:ascii="宋体" w:hAnsi="宋体" w:eastAsia="宋体" w:cs="Times New Roman"/>
          <w:b/>
          <w:bCs/>
          <w:color w:val="auto"/>
          <w:kern w:val="2"/>
          <w:sz w:val="24"/>
          <w:szCs w:val="24"/>
          <w:highlight w:val="none"/>
          <w:lang w:val="en-US" w:eastAsia="zh-CN" w:bidi="ar"/>
        </w:rPr>
        <w:t xml:space="preserve">5 </w:t>
      </w:r>
      <w:r>
        <w:rPr>
          <w:rFonts w:hint="eastAsia" w:ascii="宋体" w:hAnsi="宋体" w:eastAsia="宋体" w:cs="宋体"/>
          <w:b/>
          <w:bCs/>
          <w:color w:val="auto"/>
          <w:kern w:val="2"/>
          <w:sz w:val="24"/>
          <w:szCs w:val="24"/>
          <w:highlight w:val="none"/>
          <w:lang w:val="en-US" w:eastAsia="zh-CN" w:bidi="ar"/>
        </w:rPr>
        <w:t>检验和验收</w:t>
      </w:r>
    </w:p>
    <w:p w14:paraId="641BA50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5</w:t>
      </w:r>
      <w:r>
        <w:rPr>
          <w:rFonts w:hint="eastAsia" w:ascii="宋体" w:hAnsi="宋体"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1乙方按照</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的约定，定期提交服务报告，甲方按照</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的约定进行定期验收；</w:t>
      </w:r>
    </w:p>
    <w:p w14:paraId="59178A39">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D570B6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2.15.3检验和验收标准、程序等具体内容以及前述验收书的效力详见</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i/>
          <w:iCs w:val="0"/>
          <w:color w:val="auto"/>
          <w:kern w:val="2"/>
          <w:sz w:val="24"/>
          <w:szCs w:val="24"/>
          <w:highlight w:val="none"/>
          <w:lang w:val="en-US" w:eastAsia="zh-CN" w:bidi="ar"/>
        </w:rPr>
        <w:t>。</w:t>
      </w:r>
    </w:p>
    <w:p w14:paraId="232427A7">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16 </w:t>
      </w:r>
      <w:r>
        <w:rPr>
          <w:rFonts w:hint="eastAsia" w:ascii="宋体" w:hAnsi="宋体" w:eastAsia="宋体" w:cs="宋体"/>
          <w:b/>
          <w:bCs/>
          <w:color w:val="auto"/>
          <w:kern w:val="2"/>
          <w:sz w:val="24"/>
          <w:szCs w:val="24"/>
          <w:highlight w:val="none"/>
          <w:lang w:val="en-US" w:eastAsia="zh-CN" w:bidi="ar"/>
        </w:rPr>
        <w:t>合同使用的文字和适用的法律</w:t>
      </w:r>
    </w:p>
    <w:p w14:paraId="5947F4C7">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16.1合同使用汉语书就</w:t>
      </w:r>
      <w:r>
        <w:rPr>
          <w:rFonts w:hint="eastAsia" w:ascii="宋体" w:hAnsi="宋体" w:eastAsia="宋体" w:cs="宋体"/>
          <w:color w:val="auto"/>
          <w:kern w:val="2"/>
          <w:sz w:val="24"/>
          <w:szCs w:val="24"/>
          <w:highlight w:val="none"/>
          <w:lang w:val="en-US" w:eastAsia="zh-CN" w:bidi="ar"/>
        </w:rPr>
        <w:t>、变更和解释；</w:t>
      </w:r>
    </w:p>
    <w:p w14:paraId="2D59C875">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16</w:t>
      </w:r>
      <w:r>
        <w:rPr>
          <w:rFonts w:hint="eastAsia" w:ascii="宋体" w:hAnsi="宋体" w:eastAsia="宋体" w:cs="宋体"/>
          <w:color w:val="auto"/>
          <w:kern w:val="2"/>
          <w:sz w:val="24"/>
          <w:szCs w:val="24"/>
          <w:highlight w:val="none"/>
          <w:lang w:val="en-US" w:eastAsia="zh-CN" w:bidi="ar"/>
        </w:rPr>
        <w:t>.2合同适用中华人民共和国法律。</w:t>
      </w:r>
    </w:p>
    <w:p w14:paraId="56E58DC1">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val="0"/>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17 </w:t>
      </w:r>
      <w:r>
        <w:rPr>
          <w:rFonts w:hint="eastAsia" w:ascii="宋体" w:hAnsi="宋体" w:eastAsia="宋体" w:cs="宋体"/>
          <w:b/>
          <w:bCs/>
          <w:color w:val="auto"/>
          <w:kern w:val="2"/>
          <w:sz w:val="24"/>
          <w:szCs w:val="24"/>
          <w:highlight w:val="none"/>
          <w:lang w:val="en-US" w:eastAsia="zh-CN" w:bidi="ar"/>
        </w:rPr>
        <w:t>履约保证金</w:t>
      </w:r>
    </w:p>
    <w:p w14:paraId="52562B2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17</w:t>
      </w:r>
      <w:r>
        <w:rPr>
          <w:rFonts w:hint="eastAsia" w:ascii="宋体" w:hAnsi="宋体" w:eastAsia="宋体" w:cs="宋体"/>
          <w:color w:val="auto"/>
          <w:kern w:val="2"/>
          <w:sz w:val="24"/>
          <w:szCs w:val="24"/>
          <w:highlight w:val="none"/>
          <w:lang w:val="en-US" w:eastAsia="zh-CN" w:bidi="ar"/>
        </w:rPr>
        <w:t>.1采购文件要求乙方提交履约保证金的，乙方应按</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约定的方式，以支票、汇票、本票或者金融机构、担保机构出具的保函等非现金形式提交；</w:t>
      </w:r>
    </w:p>
    <w:p w14:paraId="258F3A5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17.2履约保证金在</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约定期间内不予退还或者应完全有效，前述约定期间届满之日起</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个工作日内，甲方应将履约保证金退还乙方，甲方逾期退还履约保证金应承担违约责任。</w:t>
      </w:r>
    </w:p>
    <w:p w14:paraId="48D8F59F">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Times New Roman"/>
          <w:color w:val="auto"/>
          <w:kern w:val="2"/>
          <w:sz w:val="24"/>
          <w:szCs w:val="24"/>
          <w:highlight w:val="none"/>
          <w:lang w:val="en-US" w:eastAsia="zh-CN" w:bidi="ar"/>
        </w:rPr>
        <w:t>17</w:t>
      </w:r>
      <w:r>
        <w:rPr>
          <w:rFonts w:hint="eastAsia" w:ascii="宋体" w:hAnsi="宋体" w:eastAsia="宋体" w:cs="宋体"/>
          <w:color w:val="auto"/>
          <w:kern w:val="2"/>
          <w:sz w:val="24"/>
          <w:szCs w:val="24"/>
          <w:highlight w:val="none"/>
          <w:lang w:val="en-US" w:eastAsia="zh-CN" w:bidi="ar"/>
        </w:rPr>
        <w:t>.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16AB445">
      <w:pPr>
        <w:keepNext w:val="0"/>
        <w:keepLines w:val="0"/>
        <w:widowControl w:val="0"/>
        <w:suppressLineNumbers w:val="0"/>
        <w:spacing w:before="0" w:beforeAutospacing="0" w:after="0" w:afterAutospacing="0" w:line="360" w:lineRule="auto"/>
        <w:ind w:left="0" w:right="0" w:firstLine="437"/>
        <w:jc w:val="both"/>
        <w:outlineLvl w:val="2"/>
        <w:rPr>
          <w:rFonts w:hint="eastAsia" w:ascii="宋体" w:hAnsi="宋体" w:eastAsia="宋体" w:cs="Times New Roman"/>
          <w:b/>
          <w:bCs w:val="0"/>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2.</w:t>
      </w:r>
      <w:r>
        <w:rPr>
          <w:rFonts w:hint="eastAsia" w:ascii="宋体" w:hAnsi="宋体" w:eastAsia="宋体" w:cs="Times New Roman"/>
          <w:b/>
          <w:bCs/>
          <w:color w:val="auto"/>
          <w:kern w:val="2"/>
          <w:sz w:val="24"/>
          <w:szCs w:val="24"/>
          <w:highlight w:val="none"/>
          <w:lang w:val="en-US" w:eastAsia="zh-CN" w:bidi="ar"/>
        </w:rPr>
        <w:t xml:space="preserve">18 </w:t>
      </w:r>
      <w:r>
        <w:rPr>
          <w:rFonts w:hint="eastAsia" w:ascii="宋体" w:hAnsi="宋体" w:eastAsia="宋体" w:cs="宋体"/>
          <w:b/>
          <w:bCs/>
          <w:color w:val="auto"/>
          <w:kern w:val="2"/>
          <w:sz w:val="24"/>
          <w:szCs w:val="24"/>
          <w:highlight w:val="none"/>
          <w:lang w:val="en-US" w:eastAsia="zh-CN" w:bidi="ar"/>
        </w:rPr>
        <w:t>合同份数</w:t>
      </w:r>
    </w:p>
    <w:p w14:paraId="6248A8E5">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合同份数按</w:t>
      </w:r>
      <w:r>
        <w:rPr>
          <w:rFonts w:hint="eastAsia" w:ascii="宋体" w:hAnsi="宋体" w:eastAsia="宋体" w:cs="宋体"/>
          <w:b/>
          <w:bCs w:val="0"/>
          <w:i/>
          <w:iCs w:val="0"/>
          <w:color w:val="auto"/>
          <w:kern w:val="2"/>
          <w:sz w:val="24"/>
          <w:szCs w:val="24"/>
          <w:highlight w:val="none"/>
          <w:u w:val="single"/>
          <w:lang w:val="en-US" w:eastAsia="zh-CN" w:bidi="ar"/>
        </w:rPr>
        <w:t>合同专用条款</w:t>
      </w:r>
      <w:r>
        <w:rPr>
          <w:rFonts w:hint="eastAsia" w:ascii="宋体" w:hAnsi="宋体" w:eastAsia="宋体" w:cs="宋体"/>
          <w:color w:val="auto"/>
          <w:kern w:val="2"/>
          <w:sz w:val="24"/>
          <w:szCs w:val="24"/>
          <w:highlight w:val="none"/>
          <w:lang w:val="en-US" w:eastAsia="zh-CN" w:bidi="ar"/>
        </w:rPr>
        <w:t>规定，每份均具有同等法律效力。</w:t>
      </w:r>
    </w:p>
    <w:p w14:paraId="449F3A31">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仿宋_GB2312"/>
          <w:b/>
          <w:bCs w:val="0"/>
          <w:color w:val="auto"/>
          <w:kern w:val="2"/>
          <w:sz w:val="24"/>
          <w:szCs w:val="24"/>
          <w:highlight w:val="none"/>
        </w:rPr>
      </w:pPr>
      <w:r>
        <w:rPr>
          <w:rFonts w:hint="eastAsia" w:ascii="宋体" w:hAnsi="宋体" w:eastAsia="宋体" w:cs="Times New Roman"/>
          <w:color w:val="auto"/>
          <w:kern w:val="2"/>
          <w:sz w:val="24"/>
          <w:szCs w:val="24"/>
          <w:highlight w:val="none"/>
          <w:lang w:val="en-US" w:eastAsia="zh-CN" w:bidi="ar"/>
        </w:rPr>
        <w:br w:type="page"/>
      </w:r>
      <w:bookmarkStart w:id="68" w:name="_Toc27725"/>
      <w:r>
        <w:rPr>
          <w:rFonts w:hint="eastAsia" w:ascii="宋体" w:hAnsi="宋体" w:eastAsia="宋体" w:cs="宋体"/>
          <w:b/>
          <w:bCs w:val="0"/>
          <w:color w:val="auto"/>
          <w:kern w:val="2"/>
          <w:sz w:val="24"/>
          <w:szCs w:val="24"/>
          <w:highlight w:val="none"/>
          <w:lang w:val="en-US" w:eastAsia="zh-CN" w:bidi="ar"/>
        </w:rPr>
        <w:t>第三部分</w:t>
      </w:r>
      <w:r>
        <w:rPr>
          <w:rFonts w:hint="eastAsia" w:ascii="宋体" w:hAnsi="宋体" w:eastAsia="宋体" w:cs="@仿宋_GB2312"/>
          <w:b/>
          <w:bCs w:val="0"/>
          <w:color w:val="auto"/>
          <w:kern w:val="2"/>
          <w:sz w:val="24"/>
          <w:szCs w:val="24"/>
          <w:highlight w:val="none"/>
          <w:lang w:val="en-US" w:eastAsia="zh-CN" w:bidi="ar"/>
        </w:rPr>
        <w:t xml:space="preserve"> </w:t>
      </w:r>
      <w:r>
        <w:rPr>
          <w:rFonts w:hint="eastAsia" w:ascii="宋体" w:hAnsi="宋体" w:eastAsia="宋体" w:cs="宋体"/>
          <w:b/>
          <w:bCs w:val="0"/>
          <w:color w:val="auto"/>
          <w:kern w:val="2"/>
          <w:sz w:val="24"/>
          <w:szCs w:val="24"/>
          <w:highlight w:val="none"/>
          <w:lang w:val="en-US" w:eastAsia="zh-CN" w:bidi="ar"/>
        </w:rPr>
        <w:t>合同专用条款</w:t>
      </w:r>
      <w:bookmarkEnd w:id="68"/>
    </w:p>
    <w:p w14:paraId="3BAD96F6">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6"/>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0" w:type="dxa"/>
          <w:left w:w="28" w:type="dxa"/>
          <w:bottom w:w="0" w:type="dxa"/>
          <w:right w:w="28" w:type="dxa"/>
        </w:tblCellMar>
      </w:tblPr>
      <w:tblGrid>
        <w:gridCol w:w="794"/>
        <w:gridCol w:w="7568"/>
      </w:tblGrid>
      <w:tr w14:paraId="62DB7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0AEF29E4">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条款号</w:t>
            </w: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0B44C70B">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约定内容</w:t>
            </w:r>
          </w:p>
        </w:tc>
      </w:tr>
      <w:tr w14:paraId="62AC7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28" w:type="dxa"/>
            <w:bottom w:w="0" w:type="dxa"/>
            <w:right w:w="28" w:type="dxa"/>
          </w:tblCellMar>
        </w:tblPrEx>
        <w:trPr>
          <w:trHeight w:val="88"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4A5EF6D8">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7E68BCE2">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3B5CC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44F51372">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7E247A65">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72F5AD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0DDFDCF0">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35E24A09">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146B7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5D4165E1">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13AFC01C">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7F6D9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44149BE8">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68D8BB4D">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u w:val="single"/>
              </w:rPr>
            </w:pPr>
          </w:p>
        </w:tc>
      </w:tr>
      <w:tr w14:paraId="4A37B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14A9705D">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3FFB53FF">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799B2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28" w:type="dxa"/>
            <w:bottom w:w="0" w:type="dxa"/>
            <w:right w:w="28" w:type="dxa"/>
          </w:tblCellMar>
        </w:tblPrEx>
        <w:trPr>
          <w:trHeight w:val="352"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4095CEEE">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49E4EA55">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u w:val="single"/>
              </w:rPr>
            </w:pPr>
          </w:p>
        </w:tc>
      </w:tr>
      <w:tr w14:paraId="3840C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121FB1FD">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2039B339">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1C515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6614A9C9">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0CC33348">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25FAEF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254D8F2A">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shd w:val="clear" w:color="auto" w:fill="auto"/>
            <w:vAlign w:val="center"/>
          </w:tcPr>
          <w:p w14:paraId="498D5EAA">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75A1A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70E70BE4">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nil"/>
              <w:bottom w:val="single" w:color="auto" w:sz="6" w:space="0"/>
              <w:right w:val="single" w:color="auto" w:sz="6" w:space="0"/>
            </w:tcBorders>
            <w:shd w:val="clear" w:color="auto" w:fill="auto"/>
            <w:vAlign w:val="center"/>
          </w:tcPr>
          <w:p w14:paraId="798DC053">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r w14:paraId="0530D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shd w:val="clear" w:color="auto" w:fill="auto"/>
            <w:vAlign w:val="center"/>
          </w:tcPr>
          <w:p w14:paraId="4EAEE498">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c>
          <w:tcPr>
            <w:tcW w:w="7568" w:type="dxa"/>
            <w:tcBorders>
              <w:top w:val="single" w:color="auto" w:sz="6" w:space="0"/>
              <w:left w:val="nil"/>
              <w:bottom w:val="single" w:color="auto" w:sz="6" w:space="0"/>
              <w:right w:val="single" w:color="auto" w:sz="6" w:space="0"/>
            </w:tcBorders>
            <w:shd w:val="clear" w:color="auto" w:fill="auto"/>
            <w:vAlign w:val="center"/>
          </w:tcPr>
          <w:p w14:paraId="258516EC">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Times New Roman"/>
                <w:color w:val="auto"/>
                <w:kern w:val="2"/>
                <w:sz w:val="24"/>
                <w:szCs w:val="24"/>
                <w:highlight w:val="none"/>
              </w:rPr>
            </w:pPr>
          </w:p>
        </w:tc>
      </w:tr>
    </w:tbl>
    <w:p w14:paraId="0BDD200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lang w:val="en-US" w:eastAsia="zh-CN" w:bidi="ar"/>
        </w:rPr>
        <w:t xml:space="preserve"> </w:t>
      </w:r>
    </w:p>
    <w:p w14:paraId="112146CB">
      <w:pPr>
        <w:keepNext w:val="0"/>
        <w:keepLines w:val="0"/>
        <w:widowControl/>
        <w:suppressLineNumbers w:val="0"/>
        <w:spacing w:before="0" w:beforeAutospacing="0" w:after="0" w:afterAutospacing="0"/>
        <w:ind w:left="0" w:right="0"/>
        <w:jc w:val="left"/>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lang w:val="en-US" w:eastAsia="zh-CN" w:bidi="ar"/>
        </w:rPr>
        <w:br w:type="page"/>
      </w:r>
    </w:p>
    <w:p w14:paraId="493D2285">
      <w:pPr>
        <w:spacing w:line="360" w:lineRule="auto"/>
        <w:jc w:val="center"/>
        <w:outlineLvl w:val="0"/>
        <w:rPr>
          <w:rFonts w:hint="eastAsia" w:asciiTheme="minorEastAsia" w:hAnsiTheme="minorEastAsia" w:eastAsiaTheme="minorEastAsia"/>
          <w:b/>
          <w:color w:val="auto"/>
          <w:sz w:val="28"/>
          <w:highlight w:val="none"/>
        </w:rPr>
      </w:pPr>
      <w:bookmarkStart w:id="69" w:name="_Toc9098"/>
      <w:r>
        <w:rPr>
          <w:rFonts w:hint="eastAsia" w:asciiTheme="minorEastAsia" w:hAnsiTheme="minorEastAsia" w:eastAsiaTheme="minorEastAsia"/>
          <w:b/>
          <w:color w:val="auto"/>
          <w:sz w:val="28"/>
          <w:highlight w:val="none"/>
        </w:rPr>
        <w:t>第六章  投标文件格式</w:t>
      </w:r>
      <w:bookmarkEnd w:id="69"/>
    </w:p>
    <w:p w14:paraId="496221B5">
      <w:pPr>
        <w:spacing w:line="900" w:lineRule="exact"/>
        <w:jc w:val="right"/>
        <w:rPr>
          <w:rFonts w:hint="default" w:asciiTheme="minorEastAsia" w:hAnsiTheme="minorEastAsia" w:eastAsiaTheme="minorEastAsia"/>
          <w:b/>
          <w:color w:val="auto"/>
          <w:sz w:val="44"/>
          <w:szCs w:val="44"/>
          <w:highlight w:val="none"/>
          <w:lang w:val="en-US" w:eastAsia="zh-CN"/>
        </w:rPr>
      </w:pPr>
      <w:r>
        <w:rPr>
          <w:rFonts w:hint="eastAsia" w:asciiTheme="minorEastAsia" w:hAnsiTheme="minorEastAsia" w:eastAsiaTheme="minorEastAsia"/>
          <w:b/>
          <w:color w:val="auto"/>
          <w:sz w:val="44"/>
          <w:szCs w:val="44"/>
          <w:highlight w:val="none"/>
          <w:lang w:val="en-US" w:eastAsia="zh-CN"/>
        </w:rPr>
        <w:t>正/副本</w:t>
      </w:r>
    </w:p>
    <w:p w14:paraId="154A6AF0">
      <w:pPr>
        <w:rPr>
          <w:rFonts w:hint="eastAsia" w:eastAsia="黑体"/>
          <w:color w:val="auto"/>
          <w:sz w:val="20"/>
          <w:highlight w:val="none"/>
        </w:rPr>
      </w:pPr>
      <w:bookmarkStart w:id="70" w:name="_Toc28960"/>
      <w:bookmarkStart w:id="71" w:name="_Toc5555"/>
    </w:p>
    <w:p w14:paraId="62F5452A">
      <w:pPr>
        <w:spacing w:line="900" w:lineRule="exact"/>
        <w:jc w:val="center"/>
        <w:outlineLvl w:val="1"/>
        <w:rPr>
          <w:rFonts w:hint="eastAsia" w:asciiTheme="minorEastAsia" w:hAnsiTheme="minorEastAsia" w:eastAsiaTheme="minorEastAsia"/>
          <w:b/>
          <w:color w:val="auto"/>
          <w:sz w:val="72"/>
          <w:highlight w:val="none"/>
        </w:rPr>
      </w:pPr>
      <w:bookmarkStart w:id="72" w:name="_Toc651"/>
      <w:bookmarkStart w:id="73" w:name="_Toc7687"/>
      <w:r>
        <w:rPr>
          <w:rFonts w:hint="eastAsia" w:asciiTheme="minorEastAsia" w:hAnsiTheme="minorEastAsia" w:eastAsiaTheme="minorEastAsia"/>
          <w:b/>
          <w:color w:val="auto"/>
          <w:sz w:val="72"/>
          <w:highlight w:val="none"/>
        </w:rPr>
        <w:t>投</w:t>
      </w:r>
      <w:bookmarkEnd w:id="72"/>
      <w:bookmarkEnd w:id="73"/>
    </w:p>
    <w:p w14:paraId="766B3D23">
      <w:pPr>
        <w:spacing w:line="900" w:lineRule="exact"/>
        <w:jc w:val="center"/>
        <w:rPr>
          <w:rFonts w:hint="eastAsia" w:asciiTheme="minorEastAsia" w:hAnsiTheme="minorEastAsia" w:eastAsiaTheme="minorEastAsia"/>
          <w:b/>
          <w:color w:val="auto"/>
          <w:sz w:val="72"/>
          <w:highlight w:val="none"/>
        </w:rPr>
      </w:pPr>
    </w:p>
    <w:p w14:paraId="0B15629A">
      <w:pPr>
        <w:spacing w:line="900" w:lineRule="exact"/>
        <w:jc w:val="center"/>
        <w:outlineLvl w:val="1"/>
        <w:rPr>
          <w:rFonts w:hint="eastAsia" w:asciiTheme="minorEastAsia" w:hAnsiTheme="minorEastAsia" w:eastAsiaTheme="minorEastAsia"/>
          <w:b/>
          <w:color w:val="auto"/>
          <w:sz w:val="72"/>
          <w:highlight w:val="none"/>
        </w:rPr>
      </w:pPr>
      <w:bookmarkStart w:id="74" w:name="_Toc6148"/>
      <w:bookmarkStart w:id="75" w:name="_Toc27747"/>
      <w:r>
        <w:rPr>
          <w:rFonts w:hint="eastAsia" w:asciiTheme="minorEastAsia" w:hAnsiTheme="minorEastAsia" w:eastAsiaTheme="minorEastAsia"/>
          <w:b/>
          <w:color w:val="auto"/>
          <w:sz w:val="72"/>
          <w:highlight w:val="none"/>
        </w:rPr>
        <w:t>标</w:t>
      </w:r>
      <w:bookmarkEnd w:id="74"/>
      <w:bookmarkEnd w:id="75"/>
    </w:p>
    <w:p w14:paraId="4E745D39">
      <w:pPr>
        <w:spacing w:line="900" w:lineRule="exact"/>
        <w:jc w:val="center"/>
        <w:rPr>
          <w:rFonts w:hint="eastAsia" w:asciiTheme="minorEastAsia" w:hAnsiTheme="minorEastAsia" w:eastAsiaTheme="minorEastAsia"/>
          <w:b/>
          <w:color w:val="auto"/>
          <w:sz w:val="72"/>
          <w:highlight w:val="none"/>
        </w:rPr>
      </w:pPr>
    </w:p>
    <w:p w14:paraId="61294526">
      <w:pPr>
        <w:spacing w:line="900" w:lineRule="exact"/>
        <w:jc w:val="center"/>
        <w:outlineLvl w:val="1"/>
        <w:rPr>
          <w:rFonts w:hint="eastAsia" w:asciiTheme="minorEastAsia" w:hAnsiTheme="minorEastAsia" w:eastAsiaTheme="minorEastAsia"/>
          <w:b/>
          <w:color w:val="auto"/>
          <w:sz w:val="72"/>
          <w:highlight w:val="none"/>
        </w:rPr>
      </w:pPr>
      <w:bookmarkStart w:id="76" w:name="_Toc11403"/>
      <w:bookmarkStart w:id="77" w:name="_Toc1338"/>
      <w:r>
        <w:rPr>
          <w:rFonts w:hint="eastAsia" w:asciiTheme="minorEastAsia" w:hAnsiTheme="minorEastAsia" w:eastAsiaTheme="minorEastAsia"/>
          <w:b/>
          <w:color w:val="auto"/>
          <w:sz w:val="72"/>
          <w:highlight w:val="none"/>
        </w:rPr>
        <w:t>文</w:t>
      </w:r>
      <w:bookmarkEnd w:id="76"/>
      <w:bookmarkEnd w:id="77"/>
    </w:p>
    <w:p w14:paraId="074E9CCC">
      <w:pPr>
        <w:spacing w:line="900" w:lineRule="exact"/>
        <w:jc w:val="center"/>
        <w:rPr>
          <w:rFonts w:hint="eastAsia" w:asciiTheme="minorEastAsia" w:hAnsiTheme="minorEastAsia" w:eastAsiaTheme="minorEastAsia"/>
          <w:b/>
          <w:color w:val="auto"/>
          <w:sz w:val="72"/>
          <w:highlight w:val="none"/>
        </w:rPr>
      </w:pPr>
    </w:p>
    <w:p w14:paraId="6DE1F75A">
      <w:pPr>
        <w:jc w:val="center"/>
        <w:outlineLvl w:val="1"/>
        <w:rPr>
          <w:rFonts w:hint="eastAsia" w:asciiTheme="minorEastAsia" w:hAnsiTheme="minorEastAsia" w:eastAsiaTheme="minorEastAsia"/>
          <w:b/>
          <w:color w:val="auto"/>
          <w:sz w:val="72"/>
          <w:highlight w:val="none"/>
        </w:rPr>
      </w:pPr>
      <w:bookmarkStart w:id="78" w:name="_Toc31822"/>
      <w:bookmarkStart w:id="79" w:name="_Toc10796"/>
      <w:r>
        <w:rPr>
          <w:rFonts w:hint="eastAsia" w:asciiTheme="minorEastAsia" w:hAnsiTheme="minorEastAsia" w:eastAsiaTheme="minorEastAsia"/>
          <w:b/>
          <w:color w:val="auto"/>
          <w:sz w:val="72"/>
          <w:highlight w:val="none"/>
        </w:rPr>
        <w:t>件</w:t>
      </w:r>
      <w:bookmarkEnd w:id="78"/>
      <w:bookmarkEnd w:id="79"/>
    </w:p>
    <w:p w14:paraId="10DB2F36">
      <w:pPr>
        <w:rPr>
          <w:rFonts w:hint="eastAsia" w:ascii="宋体" w:hAnsi="宋体" w:eastAsia="宋体" w:cs="宋体"/>
          <w:color w:val="auto"/>
          <w:sz w:val="28"/>
          <w:szCs w:val="28"/>
          <w:highlight w:val="none"/>
        </w:rPr>
      </w:pPr>
    </w:p>
    <w:p w14:paraId="43AED34E">
      <w:pPr>
        <w:rPr>
          <w:rFonts w:hint="eastAsia" w:ascii="宋体" w:hAnsi="宋体" w:eastAsia="宋体" w:cs="宋体"/>
          <w:color w:val="auto"/>
          <w:sz w:val="28"/>
          <w:szCs w:val="28"/>
          <w:highlight w:val="none"/>
        </w:rPr>
      </w:pPr>
    </w:p>
    <w:p w14:paraId="24ED2304">
      <w:pPr>
        <w:rPr>
          <w:rFonts w:hint="eastAsia" w:ascii="宋体" w:hAnsi="宋体" w:eastAsia="宋体" w:cs="宋体"/>
          <w:color w:val="auto"/>
          <w:sz w:val="28"/>
          <w:szCs w:val="28"/>
          <w:highlight w:val="none"/>
        </w:rPr>
      </w:pPr>
    </w:p>
    <w:p w14:paraId="38651576">
      <w:pPr>
        <w:tabs>
          <w:tab w:val="left" w:pos="2410"/>
        </w:tabs>
        <w:autoSpaceDE w:val="0"/>
        <w:autoSpaceDN w:val="0"/>
        <w:adjustRightInd w:val="0"/>
        <w:snapToGrid w:val="0"/>
        <w:spacing w:line="360" w:lineRule="auto"/>
        <w:ind w:firstLine="643" w:firstLineChars="200"/>
        <w:rPr>
          <w:rFonts w:hint="eastAsia"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18F534E0">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11FA2329">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44238EB2">
      <w:pPr>
        <w:spacing w:line="480" w:lineRule="auto"/>
        <w:ind w:firstLine="560" w:firstLineChars="200"/>
        <w:rPr>
          <w:rFonts w:hint="eastAsia" w:ascii="宋体" w:hAnsi="宋体" w:eastAsia="宋体" w:cs="宋体"/>
          <w:color w:val="auto"/>
          <w:sz w:val="28"/>
          <w:szCs w:val="28"/>
          <w:highlight w:val="none"/>
        </w:rPr>
      </w:pPr>
    </w:p>
    <w:p w14:paraId="23262259">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09008874">
      <w:pPr>
        <w:spacing w:line="400" w:lineRule="exact"/>
        <w:ind w:firstLine="562" w:firstLineChars="200"/>
        <w:rPr>
          <w:rFonts w:hint="eastAsia" w:ascii="宋体" w:hAnsi="宋体" w:eastAsia="宋体" w:cs="宋体"/>
          <w:b/>
          <w:color w:val="auto"/>
          <w:sz w:val="28"/>
          <w:szCs w:val="28"/>
          <w:highlight w:val="none"/>
          <w:lang w:bidi="ar"/>
        </w:rPr>
      </w:pPr>
    </w:p>
    <w:p w14:paraId="51265696">
      <w:pPr>
        <w:spacing w:line="360" w:lineRule="auto"/>
        <w:jc w:val="center"/>
        <w:outlineLvl w:val="1"/>
        <w:rPr>
          <w:rFonts w:hint="eastAsia" w:asciiTheme="minorEastAsia" w:hAnsiTheme="minorEastAsia" w:eastAsiaTheme="minorEastAsia"/>
          <w:b/>
          <w:color w:val="auto"/>
          <w:sz w:val="24"/>
          <w:highlight w:val="none"/>
        </w:rPr>
      </w:pPr>
    </w:p>
    <w:p w14:paraId="371241DA">
      <w:pPr>
        <w:widowControl/>
        <w:ind w:firstLine="65"/>
        <w:jc w:val="center"/>
        <w:rPr>
          <w:rFonts w:hint="eastAsia" w:ascii="宋体" w:hAnsi="宋体" w:eastAsia="宋体" w:cs="宋体"/>
          <w:b/>
          <w:color w:val="auto"/>
          <w:sz w:val="36"/>
          <w:szCs w:val="36"/>
          <w:highlight w:val="none"/>
          <w:lang w:bidi="ar"/>
        </w:rPr>
      </w:pPr>
    </w:p>
    <w:p w14:paraId="159D5AE0">
      <w:pPr>
        <w:widowControl/>
        <w:ind w:firstLine="65"/>
        <w:jc w:val="center"/>
        <w:rPr>
          <w:rFonts w:ascii="Times New Roman" w:hAnsi="Times New Roman" w:eastAsia="宋体" w:cs="Times New Roman"/>
          <w:b/>
          <w:color w:val="auto"/>
          <w:sz w:val="44"/>
          <w:szCs w:val="44"/>
          <w:highlight w:val="none"/>
        </w:rPr>
      </w:pPr>
      <w:r>
        <w:rPr>
          <w:rFonts w:hint="eastAsia" w:ascii="宋体" w:hAnsi="宋体" w:eastAsia="宋体" w:cs="宋体"/>
          <w:b/>
          <w:color w:val="auto"/>
          <w:sz w:val="36"/>
          <w:szCs w:val="36"/>
          <w:highlight w:val="none"/>
          <w:lang w:bidi="ar"/>
        </w:rPr>
        <w:t>目</w:t>
      </w:r>
      <w:r>
        <w:rPr>
          <w:rFonts w:hint="eastAsia" w:ascii="Times New Roman" w:hAnsi="Times New Roman" w:eastAsia="宋体" w:cs="Times New Roman"/>
          <w:b/>
          <w:color w:val="auto"/>
          <w:sz w:val="36"/>
          <w:szCs w:val="36"/>
          <w:highlight w:val="none"/>
          <w:lang w:bidi="ar"/>
        </w:rPr>
        <w:t xml:space="preserve">   </w:t>
      </w:r>
      <w:r>
        <w:rPr>
          <w:rFonts w:hint="eastAsia" w:ascii="宋体" w:hAnsi="宋体" w:eastAsia="宋体" w:cs="宋体"/>
          <w:b/>
          <w:color w:val="auto"/>
          <w:sz w:val="36"/>
          <w:szCs w:val="36"/>
          <w:highlight w:val="none"/>
          <w:lang w:bidi="ar"/>
        </w:rPr>
        <w:t>录</w:t>
      </w:r>
    </w:p>
    <w:p w14:paraId="50B4017D">
      <w:pPr>
        <w:spacing w:line="400" w:lineRule="exact"/>
        <w:ind w:firstLine="562" w:firstLineChars="200"/>
        <w:rPr>
          <w:rFonts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bidi="ar"/>
        </w:rPr>
        <w:t xml:space="preserve"> </w:t>
      </w:r>
    </w:p>
    <w:p w14:paraId="24AA0881">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 xml:space="preserve">资格声明书（格式见附件）；                                                                                                                                                                                                                                                                                                                                                                                                                                                                                                                                                                                                                                                                                                                                                                                                                                                                                                                                                                                                                                                                                                                                                                                                                                                                                                                                                                                                                                                                                                                                                                                             </w:t>
      </w:r>
    </w:p>
    <w:p w14:paraId="2A150C84">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（2）授权书（格式见附件）；</w:t>
      </w:r>
    </w:p>
    <w:p w14:paraId="1DF466C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rPr>
        <w:t>（3）本项目的特定资格要求；</w:t>
      </w:r>
      <w:r>
        <w:rPr>
          <w:rFonts w:hint="eastAsia" w:ascii="宋体" w:hAnsi="宋体" w:eastAsia="宋体" w:cs="宋体"/>
          <w:color w:val="auto"/>
          <w:sz w:val="24"/>
          <w:szCs w:val="24"/>
          <w:highlight w:val="none"/>
          <w:lang w:bidi="ar"/>
        </w:rPr>
        <w:t>①投标人具有环境保护部门对使用后未被污染输液瓶（袋）等塑料制品、玻璃输液瓶处置项目的环评审批、环保竣工验收资料及有效期内的排污许可证证明，</w:t>
      </w:r>
      <w:r>
        <w:rPr>
          <w:rFonts w:hint="eastAsia" w:ascii="宋体" w:hAnsi="宋体" w:eastAsia="宋体" w:cs="宋体"/>
          <w:color w:val="auto"/>
          <w:sz w:val="24"/>
          <w:szCs w:val="24"/>
          <w:highlight w:val="none"/>
          <w:lang w:val="en-US" w:eastAsia="zh-CN" w:bidi="ar"/>
        </w:rPr>
        <w:t>②</w:t>
      </w:r>
      <w:r>
        <w:rPr>
          <w:rFonts w:hint="eastAsia" w:ascii="宋体" w:hAnsi="宋体" w:eastAsia="宋体" w:cs="宋体"/>
          <w:color w:val="auto"/>
          <w:sz w:val="24"/>
          <w:szCs w:val="24"/>
          <w:highlight w:val="none"/>
          <w:lang w:bidi="ar"/>
        </w:rPr>
        <w:t>投标人具有有效期内的营业执照等资质证明。</w:t>
      </w:r>
    </w:p>
    <w:p w14:paraId="510A031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）开标一览表（格式见附件）；</w:t>
      </w:r>
    </w:p>
    <w:p w14:paraId="0824B18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）投标函（格式见附件）；</w:t>
      </w:r>
    </w:p>
    <w:p w14:paraId="02BBD979">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）投标响应表（格式见附件）；</w:t>
      </w:r>
    </w:p>
    <w:p w14:paraId="7B929E5E">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）诚信履约承诺函（格式见附件）；</w:t>
      </w:r>
    </w:p>
    <w:p w14:paraId="42D26AD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）诚信投标承诺书（格式见附件）；</w:t>
      </w:r>
    </w:p>
    <w:p w14:paraId="1D58CFA3">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）招标文件中要求的提供的其他相关资料；</w:t>
      </w:r>
    </w:p>
    <w:p w14:paraId="73224F6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）供应商认为需要提供的其他证明材料；</w:t>
      </w:r>
    </w:p>
    <w:p w14:paraId="064DA659">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）其他（如有）。</w:t>
      </w:r>
    </w:p>
    <w:p w14:paraId="3B38AD4A">
      <w:pPr>
        <w:spacing w:line="360" w:lineRule="auto"/>
        <w:jc w:val="center"/>
        <w:outlineLvl w:val="1"/>
        <w:rPr>
          <w:rFonts w:hint="eastAsia" w:asciiTheme="minorEastAsia" w:hAnsiTheme="minorEastAsia" w:eastAsiaTheme="minorEastAsia"/>
          <w:b/>
          <w:color w:val="auto"/>
          <w:sz w:val="24"/>
          <w:highlight w:val="none"/>
        </w:rPr>
      </w:pPr>
    </w:p>
    <w:p w14:paraId="096510A2">
      <w:pPr>
        <w:spacing w:line="360" w:lineRule="auto"/>
        <w:jc w:val="center"/>
        <w:outlineLvl w:val="1"/>
        <w:rPr>
          <w:rFonts w:hint="eastAsia" w:asciiTheme="minorEastAsia" w:hAnsiTheme="minorEastAsia" w:eastAsiaTheme="minorEastAsia"/>
          <w:b/>
          <w:color w:val="auto"/>
          <w:sz w:val="24"/>
          <w:highlight w:val="none"/>
        </w:rPr>
      </w:pPr>
    </w:p>
    <w:p w14:paraId="045D9EA2">
      <w:pPr>
        <w:spacing w:line="360" w:lineRule="auto"/>
        <w:jc w:val="center"/>
        <w:outlineLvl w:val="1"/>
        <w:rPr>
          <w:rFonts w:hint="eastAsia" w:asciiTheme="minorEastAsia" w:hAnsiTheme="minorEastAsia" w:eastAsiaTheme="minorEastAsia"/>
          <w:b/>
          <w:color w:val="auto"/>
          <w:sz w:val="24"/>
          <w:highlight w:val="none"/>
        </w:rPr>
      </w:pPr>
    </w:p>
    <w:p w14:paraId="38F9FA3B">
      <w:pPr>
        <w:spacing w:line="360" w:lineRule="auto"/>
        <w:jc w:val="center"/>
        <w:outlineLvl w:val="1"/>
        <w:rPr>
          <w:rFonts w:hint="eastAsia" w:asciiTheme="minorEastAsia" w:hAnsiTheme="minorEastAsia" w:eastAsiaTheme="minorEastAsia"/>
          <w:b/>
          <w:color w:val="auto"/>
          <w:sz w:val="24"/>
          <w:highlight w:val="none"/>
        </w:rPr>
      </w:pPr>
    </w:p>
    <w:p w14:paraId="38488DF3">
      <w:pPr>
        <w:spacing w:line="360" w:lineRule="auto"/>
        <w:jc w:val="center"/>
        <w:outlineLvl w:val="1"/>
        <w:rPr>
          <w:rFonts w:hint="eastAsia" w:asciiTheme="minorEastAsia" w:hAnsiTheme="minorEastAsia" w:eastAsiaTheme="minorEastAsia"/>
          <w:b/>
          <w:color w:val="auto"/>
          <w:sz w:val="24"/>
          <w:highlight w:val="none"/>
        </w:rPr>
      </w:pPr>
    </w:p>
    <w:p w14:paraId="20B7BF7B">
      <w:pPr>
        <w:spacing w:line="360" w:lineRule="auto"/>
        <w:jc w:val="center"/>
        <w:outlineLvl w:val="1"/>
        <w:rPr>
          <w:rFonts w:hint="eastAsia" w:asciiTheme="minorEastAsia" w:hAnsiTheme="minorEastAsia" w:eastAsiaTheme="minorEastAsia"/>
          <w:b/>
          <w:color w:val="auto"/>
          <w:sz w:val="24"/>
          <w:highlight w:val="none"/>
        </w:rPr>
      </w:pPr>
    </w:p>
    <w:p w14:paraId="64C5B58F">
      <w:pPr>
        <w:spacing w:line="360" w:lineRule="auto"/>
        <w:jc w:val="center"/>
        <w:outlineLvl w:val="1"/>
        <w:rPr>
          <w:rFonts w:hint="eastAsia" w:asciiTheme="minorEastAsia" w:hAnsiTheme="minorEastAsia" w:eastAsiaTheme="minorEastAsia"/>
          <w:b/>
          <w:color w:val="auto"/>
          <w:sz w:val="24"/>
          <w:highlight w:val="none"/>
        </w:rPr>
      </w:pPr>
    </w:p>
    <w:p w14:paraId="1184F2DF">
      <w:pPr>
        <w:spacing w:line="360" w:lineRule="auto"/>
        <w:jc w:val="center"/>
        <w:outlineLvl w:val="1"/>
        <w:rPr>
          <w:rFonts w:hint="eastAsia" w:asciiTheme="minorEastAsia" w:hAnsiTheme="minorEastAsia" w:eastAsiaTheme="minorEastAsia"/>
          <w:b/>
          <w:color w:val="auto"/>
          <w:sz w:val="24"/>
          <w:highlight w:val="none"/>
        </w:rPr>
      </w:pPr>
    </w:p>
    <w:p w14:paraId="2D4165A2">
      <w:pPr>
        <w:spacing w:line="360" w:lineRule="auto"/>
        <w:jc w:val="center"/>
        <w:outlineLvl w:val="1"/>
        <w:rPr>
          <w:rFonts w:hint="eastAsia" w:asciiTheme="minorEastAsia" w:hAnsiTheme="minorEastAsia" w:eastAsiaTheme="minorEastAsia"/>
          <w:b/>
          <w:color w:val="auto"/>
          <w:sz w:val="24"/>
          <w:highlight w:val="none"/>
        </w:rPr>
      </w:pPr>
    </w:p>
    <w:p w14:paraId="51DD19B5">
      <w:pPr>
        <w:spacing w:line="360" w:lineRule="auto"/>
        <w:jc w:val="center"/>
        <w:outlineLvl w:val="1"/>
        <w:rPr>
          <w:rFonts w:hint="eastAsia" w:asciiTheme="minorEastAsia" w:hAnsiTheme="minorEastAsia" w:eastAsiaTheme="minorEastAsia"/>
          <w:b/>
          <w:color w:val="auto"/>
          <w:sz w:val="24"/>
          <w:highlight w:val="none"/>
        </w:rPr>
      </w:pPr>
    </w:p>
    <w:p w14:paraId="0EA53FEC">
      <w:pPr>
        <w:spacing w:line="360" w:lineRule="auto"/>
        <w:jc w:val="center"/>
        <w:outlineLvl w:val="1"/>
        <w:rPr>
          <w:rFonts w:hint="eastAsia" w:asciiTheme="minorEastAsia" w:hAnsiTheme="minorEastAsia" w:eastAsiaTheme="minorEastAsia"/>
          <w:b/>
          <w:color w:val="auto"/>
          <w:sz w:val="24"/>
          <w:highlight w:val="none"/>
        </w:rPr>
      </w:pPr>
    </w:p>
    <w:p w14:paraId="7254E555">
      <w:pPr>
        <w:pStyle w:val="25"/>
        <w:rPr>
          <w:rFonts w:hint="eastAsia"/>
          <w:color w:val="auto"/>
          <w:highlight w:val="none"/>
        </w:rPr>
      </w:pPr>
    </w:p>
    <w:p w14:paraId="3E32712A">
      <w:pPr>
        <w:spacing w:line="360" w:lineRule="auto"/>
        <w:jc w:val="center"/>
        <w:outlineLvl w:val="1"/>
        <w:rPr>
          <w:rFonts w:hint="eastAsia" w:asciiTheme="minorEastAsia" w:hAnsiTheme="minorEastAsia" w:eastAsiaTheme="minorEastAsia"/>
          <w:b/>
          <w:color w:val="auto"/>
          <w:sz w:val="24"/>
          <w:highlight w:val="none"/>
        </w:rPr>
      </w:pPr>
    </w:p>
    <w:p w14:paraId="13FD778C">
      <w:pPr>
        <w:spacing w:line="360" w:lineRule="auto"/>
        <w:jc w:val="center"/>
        <w:outlineLvl w:val="1"/>
        <w:rPr>
          <w:rFonts w:hint="eastAsia" w:asciiTheme="minorEastAsia" w:hAnsiTheme="minorEastAsia" w:eastAsiaTheme="minorEastAsia"/>
          <w:b/>
          <w:color w:val="auto"/>
          <w:sz w:val="24"/>
          <w:highlight w:val="none"/>
        </w:rPr>
      </w:pPr>
    </w:p>
    <w:p w14:paraId="747F6EA1">
      <w:pPr>
        <w:spacing w:line="360" w:lineRule="auto"/>
        <w:jc w:val="center"/>
        <w:outlineLvl w:val="1"/>
        <w:rPr>
          <w:rFonts w:hint="eastAsia" w:asciiTheme="minorEastAsia" w:hAnsiTheme="minorEastAsia" w:eastAsiaTheme="minorEastAsia"/>
          <w:b/>
          <w:color w:val="auto"/>
          <w:sz w:val="24"/>
          <w:highlight w:val="none"/>
        </w:rPr>
      </w:pPr>
      <w:bookmarkStart w:id="80" w:name="_Toc26238"/>
      <w:r>
        <w:rPr>
          <w:rFonts w:hint="eastAsia" w:asciiTheme="minorEastAsia" w:hAnsiTheme="minorEastAsia" w:eastAsiaTheme="minorEastAsia"/>
          <w:b/>
          <w:color w:val="auto"/>
          <w:sz w:val="24"/>
          <w:highlight w:val="none"/>
        </w:rPr>
        <w:t>一、投标人资格声明书</w:t>
      </w:r>
      <w:bookmarkEnd w:id="80"/>
      <w:r>
        <w:rPr>
          <w:rFonts w:hint="eastAsia" w:asciiTheme="minorEastAsia" w:hAnsiTheme="minorEastAsia" w:eastAsiaTheme="minorEastAsia"/>
          <w:b/>
          <w:color w:val="auto"/>
          <w:sz w:val="24"/>
          <w:highlight w:val="none"/>
        </w:rPr>
        <w:t xml:space="preserve"> </w:t>
      </w:r>
    </w:p>
    <w:p w14:paraId="57C401EF">
      <w:pPr>
        <w:pStyle w:val="22"/>
        <w:spacing w:before="0" w:beforeAutospacing="0" w:after="0" w:afterAutospacing="0" w:line="360" w:lineRule="auto"/>
        <w:ind w:firstLine="482"/>
        <w:jc w:val="both"/>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lang w:bidi="ar"/>
        </w:rPr>
        <w:t>致：</w:t>
      </w:r>
      <w:r>
        <w:rPr>
          <w:rFonts w:hint="eastAsia" w:ascii="宋体" w:hAnsi="宋体" w:eastAsia="宋体" w:cs="宋体"/>
          <w:b/>
          <w:color w:val="auto"/>
          <w:kern w:val="2"/>
          <w:szCs w:val="24"/>
          <w:highlight w:val="none"/>
          <w:u w:val="single"/>
          <w:lang w:bidi="ar"/>
        </w:rPr>
        <w:t>采购人</w:t>
      </w:r>
    </w:p>
    <w:p w14:paraId="158B19F3">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146F36E1">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099900AD">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DBBA365">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32783C86">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9B6AA8F">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7FBA0D88">
      <w:pPr>
        <w:widowControl/>
        <w:autoSpaceDE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AD0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1FA61597">
            <w:pPr>
              <w:keepNext w:val="0"/>
              <w:keepLines w:val="0"/>
              <w:widowControl/>
              <w:suppressLineNumbers w:val="0"/>
              <w:autoSpaceDE w:val="0"/>
              <w:spacing w:before="156" w:beforeLines="50" w:beforeAutospacing="0" w:after="1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序号</w:t>
            </w:r>
          </w:p>
        </w:tc>
        <w:tc>
          <w:tcPr>
            <w:tcW w:w="2841" w:type="dxa"/>
            <w:tcBorders>
              <w:top w:val="single" w:color="auto" w:sz="4" w:space="0"/>
              <w:left w:val="nil"/>
              <w:bottom w:val="single" w:color="auto" w:sz="4" w:space="0"/>
              <w:right w:val="single" w:color="auto" w:sz="4" w:space="0"/>
            </w:tcBorders>
            <w:shd w:val="clear" w:color="auto" w:fill="auto"/>
          </w:tcPr>
          <w:p w14:paraId="41970D02">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单位名称</w:t>
            </w:r>
          </w:p>
        </w:tc>
        <w:tc>
          <w:tcPr>
            <w:tcW w:w="2841" w:type="dxa"/>
            <w:tcBorders>
              <w:top w:val="single" w:color="auto" w:sz="4" w:space="0"/>
              <w:left w:val="nil"/>
              <w:bottom w:val="single" w:color="auto" w:sz="4" w:space="0"/>
              <w:right w:val="single" w:color="auto" w:sz="4" w:space="0"/>
            </w:tcBorders>
            <w:shd w:val="clear" w:color="auto" w:fill="auto"/>
          </w:tcPr>
          <w:p w14:paraId="5ADAE6AF">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相互关系</w:t>
            </w:r>
          </w:p>
        </w:tc>
      </w:tr>
      <w:tr w14:paraId="59AC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510C6E55">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w:t>
            </w:r>
          </w:p>
        </w:tc>
        <w:tc>
          <w:tcPr>
            <w:tcW w:w="2841" w:type="dxa"/>
            <w:tcBorders>
              <w:top w:val="single" w:color="auto" w:sz="4" w:space="0"/>
              <w:left w:val="nil"/>
              <w:bottom w:val="single" w:color="auto" w:sz="4" w:space="0"/>
              <w:right w:val="single" w:color="auto" w:sz="4" w:space="0"/>
            </w:tcBorders>
            <w:shd w:val="clear" w:color="auto" w:fill="auto"/>
          </w:tcPr>
          <w:p w14:paraId="64F1A4B1">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25481722">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r>
      <w:tr w14:paraId="5F47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3FE0FC14">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w:t>
            </w:r>
          </w:p>
        </w:tc>
        <w:tc>
          <w:tcPr>
            <w:tcW w:w="2841" w:type="dxa"/>
            <w:tcBorders>
              <w:top w:val="single" w:color="auto" w:sz="4" w:space="0"/>
              <w:left w:val="nil"/>
              <w:bottom w:val="single" w:color="auto" w:sz="4" w:space="0"/>
              <w:right w:val="single" w:color="auto" w:sz="4" w:space="0"/>
            </w:tcBorders>
            <w:shd w:val="clear" w:color="auto" w:fill="auto"/>
          </w:tcPr>
          <w:p w14:paraId="35336EFF">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1135FD6A">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r>
    </w:tbl>
    <w:p w14:paraId="53C5A7E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本单位对上述声明的真实性负责。如有虚假，将依法承担相应责任。</w:t>
      </w:r>
    </w:p>
    <w:p w14:paraId="60C6C372">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投标人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（盖 章）</w:t>
      </w:r>
      <w:r>
        <w:rPr>
          <w:rFonts w:hint="eastAsia" w:ascii="宋体" w:hAnsi="宋体" w:eastAsia="宋体" w:cs="宋体"/>
          <w:color w:val="auto"/>
          <w:sz w:val="24"/>
          <w:szCs w:val="24"/>
          <w:highlight w:val="none"/>
          <w:u w:val="single"/>
          <w:lang w:bidi="ar"/>
        </w:rPr>
        <w:t xml:space="preserve">          </w:t>
      </w:r>
    </w:p>
    <w:p w14:paraId="4444E2A7">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日   期：</w:t>
      </w:r>
      <w:r>
        <w:rPr>
          <w:rFonts w:hint="eastAsia" w:ascii="宋体" w:hAnsi="宋体" w:eastAsia="宋体" w:cs="宋体"/>
          <w:color w:val="auto"/>
          <w:sz w:val="24"/>
          <w:szCs w:val="24"/>
          <w:highlight w:val="none"/>
          <w:u w:val="single"/>
          <w:lang w:bidi="ar"/>
        </w:rPr>
        <w:t xml:space="preserve">                    </w:t>
      </w:r>
    </w:p>
    <w:p w14:paraId="21B7EC46">
      <w:pPr>
        <w:pStyle w:val="22"/>
        <w:spacing w:before="0" w:after="120" w:afterAutospacing="0"/>
        <w:ind w:firstLine="482"/>
        <w:jc w:val="center"/>
        <w:rPr>
          <w:rFonts w:hint="eastAsia"/>
          <w:b/>
          <w:color w:val="auto"/>
          <w:highlight w:val="none"/>
          <w:lang w:bidi="ar"/>
        </w:rPr>
      </w:pPr>
    </w:p>
    <w:p w14:paraId="27EFF779">
      <w:pPr>
        <w:pStyle w:val="22"/>
        <w:spacing w:before="0" w:after="120" w:afterAutospacing="0"/>
        <w:ind w:firstLine="482"/>
        <w:jc w:val="center"/>
        <w:rPr>
          <w:rFonts w:hint="eastAsia"/>
          <w:b/>
          <w:color w:val="auto"/>
          <w:highlight w:val="none"/>
          <w:lang w:bidi="ar"/>
        </w:rPr>
      </w:pPr>
    </w:p>
    <w:p w14:paraId="3BF59FB8">
      <w:pPr>
        <w:pStyle w:val="22"/>
        <w:spacing w:before="0" w:after="120" w:afterAutospacing="0"/>
        <w:ind w:firstLine="482"/>
        <w:jc w:val="center"/>
        <w:rPr>
          <w:rFonts w:hint="eastAsia"/>
          <w:b/>
          <w:color w:val="auto"/>
          <w:highlight w:val="none"/>
          <w:lang w:bidi="ar"/>
        </w:rPr>
      </w:pPr>
    </w:p>
    <w:p w14:paraId="58FD299D">
      <w:pPr>
        <w:pStyle w:val="22"/>
        <w:spacing w:before="0" w:after="120" w:afterAutospacing="0"/>
        <w:ind w:firstLine="482"/>
        <w:jc w:val="center"/>
        <w:rPr>
          <w:rFonts w:hint="eastAsia"/>
          <w:b/>
          <w:color w:val="auto"/>
          <w:highlight w:val="none"/>
          <w:lang w:bidi="ar"/>
        </w:rPr>
      </w:pPr>
    </w:p>
    <w:p w14:paraId="3B1CAF22">
      <w:pPr>
        <w:pStyle w:val="22"/>
        <w:spacing w:before="0" w:after="120" w:afterAutospacing="0"/>
        <w:ind w:firstLine="482"/>
        <w:jc w:val="center"/>
        <w:rPr>
          <w:rFonts w:hint="eastAsia"/>
          <w:b/>
          <w:color w:val="auto"/>
          <w:highlight w:val="none"/>
          <w:lang w:bidi="ar"/>
        </w:rPr>
      </w:pPr>
    </w:p>
    <w:p w14:paraId="56778198">
      <w:pPr>
        <w:pStyle w:val="22"/>
        <w:spacing w:before="0" w:after="120" w:afterAutospacing="0"/>
        <w:ind w:firstLine="482"/>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lang w:bidi="ar"/>
        </w:rPr>
        <w:t>二、授权书</w:t>
      </w:r>
    </w:p>
    <w:p w14:paraId="41B397AF">
      <w:pPr>
        <w:pStyle w:val="22"/>
        <w:spacing w:before="0" w:beforeAutospacing="0" w:after="0" w:afterAutospacing="0" w:line="360" w:lineRule="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p w14:paraId="21CEEA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本授权书声明：</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（投标人名称）授权</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（投标人授权代表姓名）代表我方参加本项目</w:t>
      </w:r>
      <w:r>
        <w:rPr>
          <w:rFonts w:hint="eastAsia" w:ascii="宋体" w:hAnsi="宋体" w:eastAsia="宋体" w:cs="宋体"/>
          <w:bCs/>
          <w:color w:val="auto"/>
          <w:sz w:val="24"/>
          <w:szCs w:val="24"/>
          <w:highlight w:val="none"/>
          <w:lang w:bidi="ar"/>
        </w:rPr>
        <w:t>采购活动</w:t>
      </w:r>
      <w:r>
        <w:rPr>
          <w:rFonts w:hint="eastAsia" w:ascii="宋体" w:hAnsi="宋体" w:eastAsia="宋体" w:cs="宋体"/>
          <w:color w:val="auto"/>
          <w:sz w:val="24"/>
          <w:szCs w:val="24"/>
          <w:highlight w:val="none"/>
          <w:lang w:bidi="ar"/>
        </w:rPr>
        <w:t>，全权代表我方处理投标过程的一切事宜，包括但不限于：提交投标文件、参与投标、谈判、签约等。投标人授权代表在投标过程中所签署的一切文件和处理与之有关的一切事务，我方均予以认可并对此承担责任。投标人授权代表无转委托权。特此授权。</w:t>
      </w:r>
    </w:p>
    <w:p w14:paraId="1A1610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本授权书自出具之日起生效。</w:t>
      </w:r>
    </w:p>
    <w:p w14:paraId="5B7A8F3D">
      <w:pPr>
        <w:spacing w:line="360" w:lineRule="auto"/>
        <w:ind w:firstLine="482"/>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授权代表身份证明复印件：</w:t>
      </w:r>
    </w:p>
    <w:p w14:paraId="57D63B52">
      <w:pPr>
        <w:spacing w:line="360" w:lineRule="auto"/>
        <w:ind w:firstLine="482"/>
        <w:rPr>
          <w:rFonts w:hint="eastAsia" w:ascii="宋体" w:hAnsi="宋体" w:eastAsia="宋体" w:cs="宋体"/>
          <w:b/>
          <w:bCs/>
          <w:color w:val="auto"/>
          <w:sz w:val="24"/>
          <w:szCs w:val="24"/>
          <w:highlight w:val="none"/>
          <w:lang w:eastAsia="zh-CN" w:bidi="ar"/>
        </w:rPr>
      </w:pPr>
      <w:r>
        <w:rPr>
          <w:rFonts w:hint="eastAsia" w:ascii="宋体" w:hAnsi="宋体" w:eastAsia="宋体" w:cs="宋体"/>
          <w:b/>
          <w:bCs/>
          <w:color w:val="auto"/>
          <w:sz w:val="24"/>
          <w:szCs w:val="24"/>
          <w:highlight w:val="none"/>
          <w:lang w:bidi="ar"/>
        </w:rPr>
        <w:t>法定代表人身份证明复印件</w:t>
      </w:r>
      <w:r>
        <w:rPr>
          <w:rFonts w:hint="eastAsia" w:ascii="宋体" w:hAnsi="宋体" w:eastAsia="宋体" w:cs="宋体"/>
          <w:b/>
          <w:bCs/>
          <w:color w:val="auto"/>
          <w:sz w:val="24"/>
          <w:szCs w:val="24"/>
          <w:highlight w:val="none"/>
          <w:lang w:eastAsia="zh-CN" w:bidi="ar"/>
        </w:rPr>
        <w:t>：</w:t>
      </w:r>
    </w:p>
    <w:p w14:paraId="31F41C36">
      <w:pPr>
        <w:spacing w:line="360" w:lineRule="auto"/>
        <w:rPr>
          <w:rFonts w:hint="eastAsia" w:ascii="宋体" w:hAnsi="宋体" w:eastAsia="宋体" w:cs="宋体"/>
          <w:b/>
          <w:bCs/>
          <w:color w:val="auto"/>
          <w:sz w:val="24"/>
          <w:szCs w:val="24"/>
          <w:highlight w:val="none"/>
          <w:lang w:eastAsia="zh-CN" w:bidi="ar"/>
        </w:rPr>
      </w:pPr>
    </w:p>
    <w:p w14:paraId="36EA0EE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C4A3C8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701295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授权代表联系方式：</w:t>
      </w:r>
      <w:r>
        <w:rPr>
          <w:rFonts w:hint="eastAsia" w:ascii="宋体" w:hAnsi="宋体" w:eastAsia="宋体" w:cs="宋体"/>
          <w:color w:val="auto"/>
          <w:sz w:val="24"/>
          <w:szCs w:val="24"/>
          <w:highlight w:val="none"/>
          <w:u w:val="single"/>
          <w:lang w:bidi="ar"/>
        </w:rPr>
        <w:t xml:space="preserve">          （请填写手机号码）</w:t>
      </w:r>
    </w:p>
    <w:p w14:paraId="629BB2B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0A23F49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特此声明。</w:t>
      </w:r>
    </w:p>
    <w:p w14:paraId="206B24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9545B06">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投标人</w:t>
      </w:r>
      <w:r>
        <w:rPr>
          <w:rFonts w:hint="eastAsia" w:asciiTheme="minorEastAsia" w:hAnsiTheme="minorEastAsia" w:eastAsiaTheme="minorEastAsia"/>
          <w:bCs/>
          <w:color w:val="auto"/>
          <w:sz w:val="24"/>
          <w:highlight w:val="none"/>
        </w:rPr>
        <w:t>盖章</w:t>
      </w: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u w:val="single"/>
          <w:lang w:bidi="ar"/>
        </w:rPr>
        <w:t xml:space="preserve">                  </w:t>
      </w:r>
    </w:p>
    <w:p w14:paraId="4434D8C2">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 xml:space="preserve">                </w:t>
      </w:r>
    </w:p>
    <w:p w14:paraId="3A6C73A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日  期：</w:t>
      </w:r>
      <w:r>
        <w:rPr>
          <w:rFonts w:hint="eastAsia" w:ascii="宋体" w:hAnsi="宋体" w:eastAsia="宋体" w:cs="宋体"/>
          <w:b/>
          <w:bCs/>
          <w:color w:val="auto"/>
          <w:sz w:val="24"/>
          <w:szCs w:val="24"/>
          <w:highlight w:val="none"/>
          <w:u w:val="single"/>
          <w:lang w:bidi="ar"/>
        </w:rPr>
        <w:t xml:space="preserve">                         </w:t>
      </w:r>
    </w:p>
    <w:p w14:paraId="6D9E8E9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6D0E90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789B2E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注：</w:t>
      </w:r>
    </w:p>
    <w:p w14:paraId="64DDBF35">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1.本项目只允许有唯一的投标人授权代表，提供身份证明复印件；</w:t>
      </w:r>
    </w:p>
    <w:p w14:paraId="23E19778">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2.法定代表人参加磋商的无需提供授权书，提供身份证明复印件。</w:t>
      </w:r>
    </w:p>
    <w:p w14:paraId="2F2EB21B">
      <w:pPr>
        <w:spacing w:line="360" w:lineRule="auto"/>
        <w:jc w:val="center"/>
        <w:outlineLvl w:val="1"/>
        <w:rPr>
          <w:rFonts w:hint="eastAsia" w:asciiTheme="minorEastAsia" w:hAnsiTheme="minorEastAsia" w:eastAsiaTheme="minorEastAsia"/>
          <w:b/>
          <w:color w:val="auto"/>
          <w:sz w:val="24"/>
          <w:highlight w:val="none"/>
        </w:rPr>
      </w:pPr>
    </w:p>
    <w:p w14:paraId="605277DF">
      <w:pPr>
        <w:pStyle w:val="2"/>
        <w:rPr>
          <w:rFonts w:hint="eastAsia" w:asciiTheme="minorEastAsia" w:hAnsiTheme="minorEastAsia" w:eastAsiaTheme="minorEastAsia"/>
          <w:b/>
          <w:color w:val="auto"/>
          <w:sz w:val="24"/>
          <w:highlight w:val="none"/>
        </w:rPr>
      </w:pPr>
    </w:p>
    <w:p w14:paraId="5B283508">
      <w:pPr>
        <w:pStyle w:val="2"/>
        <w:rPr>
          <w:rFonts w:hint="eastAsia" w:asciiTheme="minorEastAsia" w:hAnsiTheme="minorEastAsia" w:eastAsiaTheme="minorEastAsia"/>
          <w:b/>
          <w:color w:val="auto"/>
          <w:sz w:val="24"/>
          <w:highlight w:val="none"/>
        </w:rPr>
      </w:pPr>
    </w:p>
    <w:p w14:paraId="00D90B51">
      <w:pPr>
        <w:pStyle w:val="2"/>
        <w:rPr>
          <w:rFonts w:hint="eastAsia" w:asciiTheme="minorEastAsia" w:hAnsiTheme="minorEastAsia" w:eastAsiaTheme="minorEastAsia"/>
          <w:b/>
          <w:color w:val="auto"/>
          <w:sz w:val="24"/>
          <w:highlight w:val="none"/>
        </w:rPr>
      </w:pPr>
    </w:p>
    <w:p w14:paraId="69D4951A">
      <w:pPr>
        <w:spacing w:line="360" w:lineRule="auto"/>
        <w:jc w:val="center"/>
        <w:outlineLvl w:val="1"/>
        <w:rPr>
          <w:rFonts w:hint="eastAsia" w:asciiTheme="minorEastAsia" w:hAnsiTheme="minorEastAsia" w:eastAsiaTheme="minorEastAsia"/>
          <w:b/>
          <w:color w:val="auto"/>
          <w:sz w:val="24"/>
          <w:highlight w:val="none"/>
        </w:rPr>
      </w:pPr>
      <w:bookmarkStart w:id="81" w:name="_Toc15603"/>
      <w:r>
        <w:rPr>
          <w:rFonts w:hint="eastAsia" w:asciiTheme="minorEastAsia" w:hAnsiTheme="minorEastAsia" w:eastAsiaTheme="minorEastAsia"/>
          <w:b/>
          <w:color w:val="auto"/>
          <w:sz w:val="24"/>
          <w:highlight w:val="none"/>
        </w:rPr>
        <w:t>三、开标一览表</w:t>
      </w:r>
      <w:bookmarkEnd w:id="81"/>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15DB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1B68E8E7">
            <w:pPr>
              <w:keepNext w:val="0"/>
              <w:keepLines w:val="0"/>
              <w:widowControl/>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2BBB352">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Cs/>
                <w:color w:val="auto"/>
                <w:sz w:val="24"/>
                <w:szCs w:val="20"/>
                <w:highlight w:val="none"/>
                <w:u w:val="single"/>
              </w:rPr>
            </w:pPr>
          </w:p>
        </w:tc>
      </w:tr>
      <w:tr w14:paraId="42B7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352" w:type="pct"/>
            <w:tcBorders>
              <w:top w:val="nil"/>
            </w:tcBorders>
            <w:vAlign w:val="center"/>
          </w:tcPr>
          <w:p w14:paraId="11E5AC59">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投标人全称</w:t>
            </w:r>
          </w:p>
        </w:tc>
        <w:tc>
          <w:tcPr>
            <w:tcW w:w="3648" w:type="pct"/>
            <w:tcBorders>
              <w:top w:val="nil"/>
            </w:tcBorders>
            <w:vAlign w:val="center"/>
          </w:tcPr>
          <w:p w14:paraId="331188BB">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olor w:val="auto"/>
                <w:sz w:val="24"/>
                <w:szCs w:val="20"/>
                <w:highlight w:val="none"/>
              </w:rPr>
            </w:pPr>
          </w:p>
        </w:tc>
      </w:tr>
      <w:tr w14:paraId="6A59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352" w:type="pct"/>
            <w:tcBorders>
              <w:top w:val="nil"/>
            </w:tcBorders>
            <w:vAlign w:val="center"/>
          </w:tcPr>
          <w:p w14:paraId="0B8B9124">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投标范围</w:t>
            </w:r>
          </w:p>
        </w:tc>
        <w:tc>
          <w:tcPr>
            <w:tcW w:w="3648" w:type="pct"/>
            <w:tcBorders>
              <w:top w:val="nil"/>
            </w:tcBorders>
            <w:vAlign w:val="center"/>
          </w:tcPr>
          <w:p w14:paraId="044BC88E">
            <w:pPr>
              <w:keepNext w:val="0"/>
              <w:keepLines w:val="0"/>
              <w:widowControl/>
              <w:suppressLineNumbers w:val="0"/>
              <w:spacing w:before="0" w:beforeAutospacing="0" w:after="0" w:afterAutospacing="0" w:line="360" w:lineRule="auto"/>
              <w:ind w:left="0" w:right="0"/>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全部</w:t>
            </w:r>
          </w:p>
        </w:tc>
      </w:tr>
      <w:tr w14:paraId="2114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352" w:type="pct"/>
            <w:tcBorders>
              <w:top w:val="nil"/>
            </w:tcBorders>
            <w:vAlign w:val="center"/>
          </w:tcPr>
          <w:p w14:paraId="0C1F0AFF">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投标报价</w:t>
            </w:r>
          </w:p>
        </w:tc>
        <w:tc>
          <w:tcPr>
            <w:tcW w:w="3648" w:type="pct"/>
            <w:tcBorders>
              <w:top w:val="nil"/>
            </w:tcBorders>
            <w:vAlign w:val="center"/>
          </w:tcPr>
          <w:p w14:paraId="1DF58F7D">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lang w:val="en-US" w:eastAsia="zh-CN"/>
              </w:rPr>
              <w:t>每年</w:t>
            </w:r>
            <w:r>
              <w:rPr>
                <w:rFonts w:hint="eastAsia" w:ascii="宋体" w:hAnsi="宋体" w:eastAsia="宋体" w:cs="宋体"/>
                <w:bCs/>
                <w:color w:val="auto"/>
                <w:sz w:val="24"/>
                <w:szCs w:val="24"/>
                <w:highlight w:val="none"/>
                <w:u w:val="single"/>
              </w:rPr>
              <w:t xml:space="preserve">                  </w:t>
            </w:r>
          </w:p>
          <w:p w14:paraId="6D26FC3B">
            <w:pPr>
              <w:keepNext w:val="0"/>
              <w:keepLines w:val="0"/>
              <w:suppressLineNumbers w:val="0"/>
              <w:spacing w:before="0" w:beforeAutospacing="0" w:after="0" w:afterAutospacing="0" w:line="360" w:lineRule="auto"/>
              <w:ind w:left="0" w:right="-67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元/年</w:t>
            </w:r>
          </w:p>
        </w:tc>
      </w:tr>
      <w:tr w14:paraId="1BD0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2DC0B971">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其他</w:t>
            </w:r>
          </w:p>
        </w:tc>
        <w:tc>
          <w:tcPr>
            <w:tcW w:w="3648" w:type="pct"/>
            <w:tcBorders>
              <w:top w:val="nil"/>
            </w:tcBorders>
            <w:vAlign w:val="center"/>
          </w:tcPr>
          <w:p w14:paraId="5596F8B8">
            <w:pPr>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szCs w:val="28"/>
                <w:highlight w:val="none"/>
              </w:rPr>
            </w:pPr>
          </w:p>
        </w:tc>
      </w:tr>
    </w:tbl>
    <w:p w14:paraId="2AF4AE6F">
      <w:pPr>
        <w:spacing w:line="360" w:lineRule="auto"/>
        <w:ind w:firstLine="4320" w:firstLineChars="1800"/>
        <w:jc w:val="center"/>
        <w:rPr>
          <w:rFonts w:hint="eastAsia" w:asciiTheme="minorEastAsia" w:hAnsiTheme="minorEastAsia" w:eastAsiaTheme="minorEastAsia"/>
          <w:bCs/>
          <w:color w:val="auto"/>
          <w:sz w:val="24"/>
          <w:highlight w:val="none"/>
        </w:rPr>
      </w:pPr>
    </w:p>
    <w:p w14:paraId="07D4B311">
      <w:pPr>
        <w:spacing w:line="360" w:lineRule="auto"/>
        <w:ind w:firstLine="4320" w:firstLineChars="1800"/>
        <w:jc w:val="center"/>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投标人盖章：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5E64562">
      <w:pPr>
        <w:spacing w:line="360" w:lineRule="auto"/>
        <w:ind w:firstLine="4320" w:firstLineChars="1800"/>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E006889">
      <w:pPr>
        <w:spacing w:line="360" w:lineRule="auto"/>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20B748DB">
      <w:pPr>
        <w:spacing w:line="360" w:lineRule="auto"/>
        <w:ind w:firstLine="360" w:firstLineChars="150"/>
        <w:rPr>
          <w:rFonts w:hint="eastAsia" w:asciiTheme="minorEastAsia" w:hAnsiTheme="minorEastAsia" w:eastAsiaTheme="minorEastAsia"/>
          <w:color w:val="auto"/>
          <w:sz w:val="24"/>
          <w:highlight w:val="none"/>
        </w:rPr>
      </w:pPr>
    </w:p>
    <w:p w14:paraId="3272C16A">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7772E0C3">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D259034">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任何有选择或有条件的投标报价，或者表中某一包别填写多个报价，均为无效报价。</w:t>
      </w:r>
    </w:p>
    <w:p w14:paraId="7519DC0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7C19E648">
      <w:pPr>
        <w:spacing w:line="360" w:lineRule="auto"/>
        <w:jc w:val="center"/>
        <w:outlineLvl w:val="1"/>
        <w:rPr>
          <w:rFonts w:hint="eastAsia" w:asciiTheme="minorEastAsia" w:hAnsiTheme="minorEastAsia" w:eastAsiaTheme="minorEastAsia"/>
          <w:b/>
          <w:color w:val="auto"/>
          <w:sz w:val="24"/>
          <w:highlight w:val="none"/>
        </w:rPr>
      </w:pPr>
      <w:bookmarkStart w:id="82" w:name="_Toc22073"/>
      <w:r>
        <w:rPr>
          <w:rFonts w:hint="eastAsia" w:asciiTheme="minorEastAsia" w:hAnsiTheme="minorEastAsia" w:eastAsiaTheme="minorEastAsia"/>
          <w:b/>
          <w:color w:val="auto"/>
          <w:sz w:val="24"/>
          <w:highlight w:val="none"/>
        </w:rPr>
        <w:t>四、投标函</w:t>
      </w:r>
      <w:bookmarkEnd w:id="82"/>
    </w:p>
    <w:p w14:paraId="08A442C8">
      <w:pPr>
        <w:pStyle w:val="14"/>
        <w:spacing w:line="360" w:lineRule="auto"/>
        <w:rPr>
          <w:rFonts w:hint="eastAsia"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20A2B86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1D89987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2AB04E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35E77B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0C82E47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14847FA8">
      <w:pPr>
        <w:spacing w:line="360" w:lineRule="auto"/>
        <w:ind w:firstLine="4800" w:firstLineChars="2000"/>
        <w:rPr>
          <w:rFonts w:hint="eastAsia" w:ascii="宋体" w:hAnsi="宋体" w:eastAsia="宋体"/>
          <w:color w:val="auto"/>
          <w:sz w:val="24"/>
          <w:highlight w:val="none"/>
        </w:rPr>
      </w:pPr>
    </w:p>
    <w:p w14:paraId="3A220741">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投标人盖章：</w:t>
      </w:r>
      <w:r>
        <w:rPr>
          <w:rFonts w:hint="eastAsia" w:ascii="宋体" w:hAnsi="宋体" w:eastAsia="宋体"/>
          <w:color w:val="auto"/>
          <w:sz w:val="24"/>
          <w:highlight w:val="none"/>
          <w:u w:val="single"/>
        </w:rPr>
        <w:t xml:space="preserve">             </w:t>
      </w:r>
    </w:p>
    <w:p w14:paraId="467D1D6F">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8DEF67A">
      <w:pPr>
        <w:widowControl/>
        <w:jc w:val="left"/>
        <w:rPr>
          <w:rFonts w:ascii="宋体" w:hAnsi="宋体" w:eastAsia="宋体"/>
          <w:color w:val="auto"/>
          <w:sz w:val="24"/>
          <w:highlight w:val="none"/>
          <w:u w:val="single"/>
        </w:rPr>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pPr>
      <w:r>
        <w:rPr>
          <w:rFonts w:ascii="宋体" w:hAnsi="宋体" w:eastAsia="宋体"/>
          <w:color w:val="auto"/>
          <w:sz w:val="24"/>
          <w:highlight w:val="none"/>
          <w:u w:val="single"/>
        </w:rPr>
        <w:br w:type="page"/>
      </w:r>
    </w:p>
    <w:p w14:paraId="4A0ED228">
      <w:pPr>
        <w:widowControl/>
        <w:jc w:val="left"/>
        <w:rPr>
          <w:rFonts w:hint="eastAsia" w:ascii="宋体" w:hAnsi="宋体" w:eastAsia="宋体"/>
          <w:color w:val="auto"/>
          <w:sz w:val="24"/>
          <w:highlight w:val="none"/>
          <w:u w:val="single"/>
        </w:rPr>
      </w:pPr>
    </w:p>
    <w:p w14:paraId="106A4B08">
      <w:pPr>
        <w:spacing w:line="360" w:lineRule="auto"/>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val="en-US" w:eastAsia="zh-CN" w:bidi="ar"/>
        </w:rPr>
        <w:t>五</w:t>
      </w:r>
      <w:r>
        <w:rPr>
          <w:rFonts w:hint="eastAsia" w:ascii="宋体" w:hAnsi="宋体" w:eastAsia="宋体" w:cs="宋体"/>
          <w:b/>
          <w:color w:val="auto"/>
          <w:sz w:val="24"/>
          <w:szCs w:val="24"/>
          <w:highlight w:val="none"/>
          <w:lang w:bidi="ar"/>
        </w:rPr>
        <w:t>、投标响应表</w:t>
      </w:r>
    </w:p>
    <w:p w14:paraId="58CD2229">
      <w:pPr>
        <w:spacing w:line="360" w:lineRule="auto"/>
        <w:ind w:firstLine="435"/>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1.商务响应表</w:t>
      </w:r>
    </w:p>
    <w:tbl>
      <w:tblPr>
        <w:tblStyle w:val="26"/>
        <w:tblW w:w="58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2077"/>
        <w:gridCol w:w="2946"/>
        <w:gridCol w:w="2752"/>
        <w:gridCol w:w="1351"/>
      </w:tblGrid>
      <w:tr w14:paraId="5DA9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50A457D5">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1048" w:type="pct"/>
            <w:tcBorders>
              <w:top w:val="single" w:color="auto" w:sz="4" w:space="0"/>
              <w:left w:val="nil"/>
              <w:bottom w:val="single" w:color="auto" w:sz="4" w:space="0"/>
              <w:right w:val="single" w:color="auto" w:sz="4" w:space="0"/>
            </w:tcBorders>
            <w:shd w:val="clear" w:color="auto" w:fill="auto"/>
            <w:vAlign w:val="center"/>
          </w:tcPr>
          <w:p w14:paraId="4BCA7785">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商务条款</w:t>
            </w:r>
          </w:p>
        </w:tc>
        <w:tc>
          <w:tcPr>
            <w:tcW w:w="1487" w:type="pct"/>
            <w:tcBorders>
              <w:top w:val="single" w:color="auto" w:sz="4" w:space="0"/>
              <w:left w:val="nil"/>
              <w:bottom w:val="single" w:color="auto" w:sz="4" w:space="0"/>
              <w:right w:val="single" w:color="auto" w:sz="4" w:space="0"/>
            </w:tcBorders>
            <w:shd w:val="clear" w:color="auto" w:fill="auto"/>
            <w:vAlign w:val="center"/>
          </w:tcPr>
          <w:p w14:paraId="31580DCC">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招标文件要求</w:t>
            </w:r>
          </w:p>
        </w:tc>
        <w:tc>
          <w:tcPr>
            <w:tcW w:w="1389" w:type="pct"/>
            <w:tcBorders>
              <w:top w:val="single" w:color="auto" w:sz="4" w:space="0"/>
              <w:left w:val="nil"/>
              <w:bottom w:val="single" w:color="auto" w:sz="4" w:space="0"/>
              <w:right w:val="single" w:color="auto" w:sz="4" w:space="0"/>
            </w:tcBorders>
            <w:shd w:val="clear" w:color="auto" w:fill="auto"/>
            <w:vAlign w:val="center"/>
          </w:tcPr>
          <w:p w14:paraId="1A1614D7">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投标人承诺</w:t>
            </w:r>
          </w:p>
        </w:tc>
        <w:tc>
          <w:tcPr>
            <w:tcW w:w="682" w:type="pct"/>
            <w:tcBorders>
              <w:top w:val="single" w:color="auto" w:sz="4" w:space="0"/>
              <w:left w:val="nil"/>
              <w:bottom w:val="single" w:color="auto" w:sz="4" w:space="0"/>
              <w:right w:val="single" w:color="auto" w:sz="4" w:space="0"/>
            </w:tcBorders>
            <w:shd w:val="clear" w:color="auto" w:fill="auto"/>
            <w:vAlign w:val="center"/>
          </w:tcPr>
          <w:p w14:paraId="5C2A4BC1">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549B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38AB70C1">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2077" w:type="dxa"/>
            <w:tcBorders>
              <w:top w:val="single" w:color="auto" w:sz="4" w:space="0"/>
              <w:left w:val="nil"/>
              <w:bottom w:val="single" w:color="auto" w:sz="4" w:space="0"/>
              <w:right w:val="single" w:color="auto" w:sz="4" w:space="0"/>
            </w:tcBorders>
            <w:shd w:val="clear" w:color="auto" w:fill="auto"/>
            <w:vAlign w:val="center"/>
          </w:tcPr>
          <w:p w14:paraId="24115DC1">
            <w:pPr>
              <w:pStyle w:val="44"/>
              <w:keepNext w:val="0"/>
              <w:keepLines w:val="0"/>
              <w:widowControl w:val="0"/>
              <w:suppressLineNumbers w:val="0"/>
              <w:spacing w:before="0" w:beforeAutospacing="0" w:after="0" w:afterAutospacing="0"/>
              <w:ind w:left="0" w:right="0" w:firstLine="43" w:firstLineChars="0"/>
              <w:rPr>
                <w:rFonts w:hint="eastAsia" w:ascii="宋体" w:hAnsi="宋体" w:eastAsia="宋体"/>
                <w:color w:val="auto"/>
                <w:sz w:val="24"/>
                <w:szCs w:val="24"/>
                <w:highlight w:val="none"/>
              </w:rPr>
            </w:pPr>
            <w:r>
              <w:rPr>
                <w:rFonts w:hint="eastAsia" w:ascii="宋体" w:hAnsi="宋体" w:eastAsia="宋体"/>
                <w:b w:val="0"/>
                <w:color w:val="auto"/>
                <w:sz w:val="24"/>
                <w:highlight w:val="none"/>
              </w:rPr>
              <w:t>付款方式</w:t>
            </w:r>
          </w:p>
        </w:tc>
        <w:tc>
          <w:tcPr>
            <w:tcW w:w="1487" w:type="pct"/>
            <w:tcBorders>
              <w:top w:val="single" w:color="auto" w:sz="4" w:space="0"/>
              <w:left w:val="nil"/>
              <w:bottom w:val="single" w:color="auto" w:sz="4" w:space="0"/>
              <w:right w:val="single" w:color="auto" w:sz="4" w:space="0"/>
            </w:tcBorders>
            <w:shd w:val="clear" w:color="auto" w:fill="auto"/>
            <w:vAlign w:val="center"/>
          </w:tcPr>
          <w:p w14:paraId="49466D16">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1389" w:type="pct"/>
            <w:tcBorders>
              <w:top w:val="single" w:color="auto" w:sz="4" w:space="0"/>
              <w:left w:val="nil"/>
              <w:bottom w:val="single" w:color="auto" w:sz="4" w:space="0"/>
              <w:right w:val="single" w:color="auto" w:sz="4" w:space="0"/>
            </w:tcBorders>
            <w:shd w:val="clear" w:color="auto" w:fill="auto"/>
            <w:vAlign w:val="center"/>
          </w:tcPr>
          <w:p w14:paraId="2DD3B2C5">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682" w:type="pct"/>
            <w:tcBorders>
              <w:top w:val="single" w:color="auto" w:sz="4" w:space="0"/>
              <w:left w:val="nil"/>
              <w:bottom w:val="single" w:color="auto" w:sz="4" w:space="0"/>
              <w:right w:val="single" w:color="auto" w:sz="4" w:space="0"/>
            </w:tcBorders>
            <w:shd w:val="clear" w:color="auto" w:fill="auto"/>
            <w:vAlign w:val="center"/>
          </w:tcPr>
          <w:p w14:paraId="2D7DF7E0">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是/否</w:t>
            </w:r>
          </w:p>
        </w:tc>
      </w:tr>
      <w:tr w14:paraId="39D9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5AF6ED1D">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2077" w:type="dxa"/>
            <w:tcBorders>
              <w:top w:val="single" w:color="auto" w:sz="4" w:space="0"/>
              <w:left w:val="nil"/>
              <w:bottom w:val="single" w:color="auto" w:sz="4" w:space="0"/>
              <w:right w:val="single" w:color="auto" w:sz="4" w:space="0"/>
            </w:tcBorders>
            <w:shd w:val="clear" w:color="auto" w:fill="auto"/>
            <w:vAlign w:val="center"/>
          </w:tcPr>
          <w:p w14:paraId="4DF35B2F">
            <w:pPr>
              <w:pStyle w:val="44"/>
              <w:keepNext w:val="0"/>
              <w:keepLines w:val="0"/>
              <w:widowControl w:val="0"/>
              <w:suppressLineNumbers w:val="0"/>
              <w:spacing w:before="0" w:beforeAutospacing="0" w:after="0" w:afterAutospacing="0"/>
              <w:ind w:left="0" w:right="0" w:firstLine="43" w:firstLineChars="0"/>
              <w:rPr>
                <w:rFonts w:hint="eastAsia" w:ascii="宋体" w:hAnsi="宋体" w:eastAsia="宋体"/>
                <w:color w:val="auto"/>
                <w:sz w:val="24"/>
                <w:szCs w:val="24"/>
                <w:highlight w:val="none"/>
              </w:rPr>
            </w:pPr>
            <w:r>
              <w:rPr>
                <w:rFonts w:hint="eastAsia" w:ascii="宋体" w:hAnsi="宋体" w:eastAsia="宋体"/>
                <w:b w:val="0"/>
                <w:color w:val="auto"/>
                <w:sz w:val="24"/>
                <w:highlight w:val="none"/>
                <w:lang w:val="en-US" w:eastAsia="zh-CN"/>
              </w:rPr>
              <w:t>服务</w:t>
            </w:r>
            <w:r>
              <w:rPr>
                <w:rFonts w:hint="eastAsia" w:ascii="宋体" w:hAnsi="宋体" w:eastAsia="宋体"/>
                <w:b w:val="0"/>
                <w:color w:val="auto"/>
                <w:sz w:val="24"/>
                <w:highlight w:val="none"/>
              </w:rPr>
              <w:t>地点</w:t>
            </w:r>
          </w:p>
        </w:tc>
        <w:tc>
          <w:tcPr>
            <w:tcW w:w="1487" w:type="pct"/>
            <w:tcBorders>
              <w:top w:val="single" w:color="auto" w:sz="4" w:space="0"/>
              <w:left w:val="nil"/>
              <w:bottom w:val="single" w:color="auto" w:sz="4" w:space="0"/>
              <w:right w:val="single" w:color="auto" w:sz="4" w:space="0"/>
            </w:tcBorders>
            <w:shd w:val="clear" w:color="auto" w:fill="auto"/>
            <w:vAlign w:val="center"/>
          </w:tcPr>
          <w:p w14:paraId="0BFDF843">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1389" w:type="pct"/>
            <w:tcBorders>
              <w:top w:val="single" w:color="auto" w:sz="4" w:space="0"/>
              <w:left w:val="nil"/>
              <w:bottom w:val="single" w:color="auto" w:sz="4" w:space="0"/>
              <w:right w:val="single" w:color="auto" w:sz="4" w:space="0"/>
            </w:tcBorders>
            <w:shd w:val="clear" w:color="auto" w:fill="auto"/>
            <w:vAlign w:val="center"/>
          </w:tcPr>
          <w:p w14:paraId="2929E22E">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682" w:type="pct"/>
            <w:tcBorders>
              <w:top w:val="single" w:color="auto" w:sz="4" w:space="0"/>
              <w:left w:val="nil"/>
              <w:bottom w:val="single" w:color="auto" w:sz="4" w:space="0"/>
              <w:right w:val="single" w:color="auto" w:sz="4" w:space="0"/>
            </w:tcBorders>
            <w:shd w:val="clear" w:color="auto" w:fill="auto"/>
            <w:vAlign w:val="center"/>
          </w:tcPr>
          <w:p w14:paraId="46D6CF42">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是/否</w:t>
            </w:r>
          </w:p>
        </w:tc>
      </w:tr>
      <w:tr w14:paraId="764B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7A7C6223">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2077" w:type="dxa"/>
            <w:tcBorders>
              <w:top w:val="single" w:color="auto" w:sz="4" w:space="0"/>
              <w:left w:val="nil"/>
              <w:bottom w:val="single" w:color="auto" w:sz="4" w:space="0"/>
              <w:right w:val="single" w:color="auto" w:sz="4" w:space="0"/>
            </w:tcBorders>
            <w:shd w:val="clear" w:color="auto" w:fill="auto"/>
            <w:vAlign w:val="center"/>
          </w:tcPr>
          <w:p w14:paraId="10CDC537">
            <w:pPr>
              <w:pStyle w:val="44"/>
              <w:keepNext w:val="0"/>
              <w:keepLines w:val="0"/>
              <w:widowControl w:val="0"/>
              <w:suppressLineNumbers w:val="0"/>
              <w:spacing w:before="0" w:beforeAutospacing="0" w:after="0" w:afterAutospacing="0"/>
              <w:ind w:left="0" w:right="0" w:firstLine="43" w:firstLineChars="0"/>
              <w:rPr>
                <w:rFonts w:hint="eastAsia" w:ascii="宋体" w:hAnsi="宋体" w:eastAsia="宋体"/>
                <w:color w:val="auto"/>
                <w:sz w:val="24"/>
                <w:szCs w:val="24"/>
                <w:highlight w:val="none"/>
              </w:rPr>
            </w:pPr>
            <w:r>
              <w:rPr>
                <w:rFonts w:hint="eastAsia" w:ascii="宋体" w:hAnsi="宋体" w:eastAsia="宋体"/>
                <w:b w:val="0"/>
                <w:color w:val="auto"/>
                <w:sz w:val="24"/>
                <w:highlight w:val="none"/>
                <w:lang w:val="en-US" w:eastAsia="zh-CN"/>
              </w:rPr>
              <w:t>服务</w:t>
            </w:r>
            <w:r>
              <w:rPr>
                <w:rFonts w:hint="eastAsia" w:ascii="宋体" w:hAnsi="宋体" w:eastAsia="宋体"/>
                <w:b w:val="0"/>
                <w:color w:val="auto"/>
                <w:sz w:val="24"/>
                <w:highlight w:val="none"/>
              </w:rPr>
              <w:t>期限</w:t>
            </w:r>
          </w:p>
        </w:tc>
        <w:tc>
          <w:tcPr>
            <w:tcW w:w="1487" w:type="pct"/>
            <w:tcBorders>
              <w:top w:val="single" w:color="auto" w:sz="4" w:space="0"/>
              <w:left w:val="nil"/>
              <w:bottom w:val="single" w:color="auto" w:sz="4" w:space="0"/>
              <w:right w:val="single" w:color="auto" w:sz="4" w:space="0"/>
            </w:tcBorders>
            <w:shd w:val="clear" w:color="auto" w:fill="auto"/>
            <w:vAlign w:val="center"/>
          </w:tcPr>
          <w:p w14:paraId="4113830E">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1389" w:type="pct"/>
            <w:tcBorders>
              <w:top w:val="single" w:color="auto" w:sz="4" w:space="0"/>
              <w:left w:val="nil"/>
              <w:bottom w:val="single" w:color="auto" w:sz="4" w:space="0"/>
              <w:right w:val="single" w:color="auto" w:sz="4" w:space="0"/>
            </w:tcBorders>
            <w:shd w:val="clear" w:color="auto" w:fill="auto"/>
            <w:vAlign w:val="center"/>
          </w:tcPr>
          <w:p w14:paraId="24979325">
            <w:pPr>
              <w:pStyle w:val="22"/>
              <w:keepNext w:val="0"/>
              <w:keepLines w:val="0"/>
              <w:suppressLineNumbers w:val="0"/>
              <w:spacing w:before="0" w:beforeAutospacing="0" w:after="0" w:afterAutospacing="0"/>
              <w:ind w:left="0" w:right="0"/>
              <w:jc w:val="center"/>
              <w:rPr>
                <w:rFonts w:hint="eastAsia" w:ascii="宋体" w:hAnsi="宋体" w:eastAsia="宋体" w:cs="Arial"/>
                <w:color w:val="auto"/>
                <w:kern w:val="2"/>
                <w:szCs w:val="24"/>
                <w:highlight w:val="none"/>
              </w:rPr>
            </w:pPr>
          </w:p>
        </w:tc>
        <w:tc>
          <w:tcPr>
            <w:tcW w:w="682" w:type="pct"/>
            <w:tcBorders>
              <w:top w:val="single" w:color="auto" w:sz="4" w:space="0"/>
              <w:left w:val="nil"/>
              <w:bottom w:val="single" w:color="auto" w:sz="4" w:space="0"/>
              <w:right w:val="single" w:color="auto" w:sz="4" w:space="0"/>
            </w:tcBorders>
            <w:shd w:val="clear" w:color="auto" w:fill="auto"/>
            <w:vAlign w:val="center"/>
          </w:tcPr>
          <w:p w14:paraId="65F4AADC">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是/否</w:t>
            </w:r>
          </w:p>
        </w:tc>
      </w:tr>
    </w:tbl>
    <w:p w14:paraId="5DA16023">
      <w:pPr>
        <w:spacing w:line="360" w:lineRule="auto"/>
        <w:ind w:firstLine="4800" w:firstLineChars="2000"/>
        <w:rPr>
          <w:rFonts w:hint="eastAsia" w:ascii="宋体" w:hAnsi="宋体" w:eastAsia="宋体" w:cs="宋体"/>
          <w:color w:val="auto"/>
          <w:sz w:val="24"/>
          <w:szCs w:val="24"/>
          <w:highlight w:val="none"/>
          <w:lang w:bidi="ar"/>
        </w:rPr>
      </w:pPr>
    </w:p>
    <w:p w14:paraId="5888BC24">
      <w:pPr>
        <w:spacing w:line="360" w:lineRule="auto"/>
        <w:ind w:firstLine="4800" w:firstLineChars="20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10A68899">
      <w:pPr>
        <w:spacing w:line="360" w:lineRule="auto"/>
        <w:ind w:firstLine="4800" w:firstLineChars="20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5FD30F0D">
      <w:pPr>
        <w:pStyle w:val="22"/>
        <w:spacing w:before="0" w:beforeAutospacing="0" w:after="0" w:afterAutospacing="0" w:line="360" w:lineRule="auto"/>
        <w:jc w:val="both"/>
        <w:rPr>
          <w:rFonts w:hint="eastAsia" w:ascii="宋体" w:hAnsi="宋体" w:eastAsia="宋体" w:cs="Arial"/>
          <w:color w:val="auto"/>
          <w:kern w:val="2"/>
          <w:szCs w:val="24"/>
          <w:highlight w:val="none"/>
          <w:lang w:bidi="ar"/>
        </w:rPr>
      </w:pPr>
      <w:r>
        <w:rPr>
          <w:rFonts w:hint="eastAsia" w:ascii="宋体" w:hAnsi="宋体" w:eastAsia="宋体" w:cs="Arial"/>
          <w:color w:val="auto"/>
          <w:kern w:val="2"/>
          <w:szCs w:val="24"/>
          <w:highlight w:val="none"/>
          <w:lang w:bidi="ar"/>
        </w:rPr>
        <w:br w:type="page"/>
      </w:r>
    </w:p>
    <w:p w14:paraId="5319D043">
      <w:pPr>
        <w:spacing w:line="360" w:lineRule="auto"/>
        <w:jc w:val="center"/>
        <w:outlineLvl w:val="1"/>
        <w:rPr>
          <w:rFonts w:hint="eastAsia" w:ascii="宋体" w:hAnsi="宋体" w:eastAsia="宋体"/>
          <w:b/>
          <w:color w:val="auto"/>
          <w:sz w:val="24"/>
          <w:szCs w:val="24"/>
          <w:highlight w:val="none"/>
        </w:rPr>
      </w:pPr>
      <w:bookmarkStart w:id="83" w:name="_Toc24933"/>
      <w:r>
        <w:rPr>
          <w:rFonts w:hint="eastAsia" w:ascii="宋体" w:hAnsi="宋体" w:eastAsia="宋体" w:cs="宋体"/>
          <w:b/>
          <w:color w:val="auto"/>
          <w:sz w:val="24"/>
          <w:szCs w:val="24"/>
          <w:highlight w:val="none"/>
          <w:lang w:val="en-US" w:eastAsia="zh-CN" w:bidi="ar"/>
        </w:rPr>
        <w:t>七</w:t>
      </w:r>
      <w:r>
        <w:rPr>
          <w:rFonts w:hint="eastAsia" w:ascii="宋体" w:hAnsi="宋体" w:eastAsia="宋体" w:cs="宋体"/>
          <w:b/>
          <w:color w:val="auto"/>
          <w:sz w:val="24"/>
          <w:szCs w:val="24"/>
          <w:highlight w:val="none"/>
          <w:lang w:bidi="ar"/>
        </w:rPr>
        <w:t>、诚信履约承诺函</w:t>
      </w:r>
      <w:bookmarkEnd w:id="83"/>
    </w:p>
    <w:p w14:paraId="20578258">
      <w:pPr>
        <w:spacing w:line="360" w:lineRule="auto"/>
        <w:rPr>
          <w:rFonts w:hint="eastAsia" w:ascii="宋体" w:hAnsi="宋体" w:eastAsia="宋体"/>
          <w:b/>
          <w:bCs/>
          <w:color w:val="auto"/>
          <w:sz w:val="24"/>
          <w:szCs w:val="24"/>
          <w:highlight w:val="none"/>
          <w:u w:val="single"/>
        </w:rPr>
      </w:pPr>
      <w:r>
        <w:rPr>
          <w:rFonts w:hint="eastAsia" w:ascii="宋体" w:hAnsi="宋体" w:eastAsia="宋体" w:cs="宋体"/>
          <w:b/>
          <w:bCs/>
          <w:color w:val="auto"/>
          <w:sz w:val="24"/>
          <w:szCs w:val="24"/>
          <w:highlight w:val="none"/>
          <w:lang w:bidi="ar"/>
        </w:rPr>
        <w:t>致：采购人</w:t>
      </w:r>
    </w:p>
    <w:p w14:paraId="583021F0">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992E853">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（1）中标或者成交后无正当理由拒不与采购人签订政府采购合同；</w:t>
      </w:r>
    </w:p>
    <w:p w14:paraId="23E7A6D3">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（2）未按照采购文件确定的事项签订政府采购合同；</w:t>
      </w:r>
    </w:p>
    <w:p w14:paraId="08F7AAFF">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（3）将政府采购合同转包；</w:t>
      </w:r>
    </w:p>
    <w:p w14:paraId="2067B0E9">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（4）提供假冒伪劣产品；</w:t>
      </w:r>
    </w:p>
    <w:p w14:paraId="44FA9DEE">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（5）擅自变更、中止或者终止政府采购合同。</w:t>
      </w:r>
    </w:p>
    <w:p w14:paraId="5D8991A5">
      <w:pPr>
        <w:spacing w:line="360" w:lineRule="auto"/>
        <w:ind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1A54D26">
      <w:pPr>
        <w:spacing w:line="360" w:lineRule="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本承诺声明：</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（投标人名称）</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对本招标文件的相关要求完全响应。若有幸中标将严格按照以上承诺进行服务。</w:t>
      </w:r>
    </w:p>
    <w:p w14:paraId="3D8D54FD">
      <w:pPr>
        <w:spacing w:line="360" w:lineRule="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p>
    <w:p w14:paraId="720251DD">
      <w:pPr>
        <w:spacing w:line="360" w:lineRule="auto"/>
        <w:ind w:firstLine="4320" w:firstLineChars="1800"/>
        <w:rPr>
          <w:rFonts w:hint="eastAsia" w:ascii="宋体" w:hAnsi="宋体" w:eastAsia="宋体"/>
          <w:bCs/>
          <w:color w:val="auto"/>
          <w:sz w:val="24"/>
          <w:szCs w:val="24"/>
          <w:highlight w:val="none"/>
          <w:u w:val="single"/>
        </w:rPr>
      </w:pPr>
      <w:r>
        <w:rPr>
          <w:rFonts w:hint="eastAsia" w:ascii="宋体" w:hAnsi="宋体" w:eastAsia="宋体" w:cs="宋体"/>
          <w:bCs/>
          <w:color w:val="auto"/>
          <w:sz w:val="24"/>
          <w:szCs w:val="24"/>
          <w:highlight w:val="none"/>
          <w:lang w:bidi="ar"/>
        </w:rPr>
        <w:t>投标人盖章：</w:t>
      </w:r>
      <w:r>
        <w:rPr>
          <w:rFonts w:hint="eastAsia" w:ascii="宋体" w:hAnsi="宋体" w:eastAsia="宋体"/>
          <w:bCs/>
          <w:color w:val="auto"/>
          <w:sz w:val="24"/>
          <w:szCs w:val="24"/>
          <w:highlight w:val="none"/>
          <w:u w:val="single"/>
          <w:lang w:bidi="ar"/>
        </w:rPr>
        <w:t xml:space="preserve">             </w:t>
      </w:r>
    </w:p>
    <w:p w14:paraId="5E0B7C6D">
      <w:pPr>
        <w:spacing w:line="360" w:lineRule="auto"/>
        <w:ind w:firstLine="4320" w:firstLineChars="18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日</w:t>
      </w: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期：</w:t>
      </w:r>
      <w:r>
        <w:rPr>
          <w:rFonts w:hint="eastAsia" w:ascii="宋体" w:hAnsi="宋体" w:eastAsia="宋体"/>
          <w:bCs/>
          <w:color w:val="auto"/>
          <w:sz w:val="24"/>
          <w:szCs w:val="24"/>
          <w:highlight w:val="none"/>
          <w:u w:val="single"/>
          <w:lang w:bidi="ar"/>
        </w:rPr>
        <w:t xml:space="preserve">             </w:t>
      </w:r>
    </w:p>
    <w:p w14:paraId="79B14639">
      <w:pPr>
        <w:widowControl/>
        <w:jc w:val="left"/>
        <w:rPr>
          <w:rFonts w:hint="eastAsia" w:ascii="宋体" w:hAnsi="宋体" w:eastAsia="宋体" w:cs="Arial"/>
          <w:color w:val="auto"/>
          <w:sz w:val="24"/>
          <w:szCs w:val="24"/>
          <w:highlight w:val="none"/>
        </w:rPr>
      </w:pPr>
      <w:r>
        <w:rPr>
          <w:rFonts w:hint="eastAsia" w:ascii="宋体" w:hAnsi="宋体" w:eastAsia="宋体" w:cs="Arial"/>
          <w:color w:val="auto"/>
          <w:sz w:val="24"/>
          <w:szCs w:val="24"/>
          <w:highlight w:val="none"/>
          <w:lang w:bidi="ar"/>
        </w:rPr>
        <w:br w:type="page"/>
      </w:r>
    </w:p>
    <w:p w14:paraId="20DFF6BD">
      <w:pPr>
        <w:spacing w:line="360" w:lineRule="auto"/>
        <w:jc w:val="center"/>
        <w:outlineLvl w:val="1"/>
        <w:rPr>
          <w:rFonts w:hint="eastAsia" w:ascii="宋体" w:hAnsi="宋体" w:eastAsia="宋体"/>
          <w:b/>
          <w:color w:val="auto"/>
          <w:sz w:val="24"/>
          <w:szCs w:val="24"/>
          <w:highlight w:val="none"/>
        </w:rPr>
      </w:pPr>
      <w:bookmarkStart w:id="84" w:name="_Toc29724"/>
      <w:r>
        <w:rPr>
          <w:rFonts w:hint="eastAsia" w:ascii="宋体" w:hAnsi="宋体" w:eastAsia="宋体" w:cs="宋体"/>
          <w:b/>
          <w:color w:val="auto"/>
          <w:sz w:val="24"/>
          <w:szCs w:val="24"/>
          <w:highlight w:val="none"/>
          <w:lang w:val="en-US" w:eastAsia="zh-CN" w:bidi="ar"/>
        </w:rPr>
        <w:t>八</w:t>
      </w:r>
      <w:r>
        <w:rPr>
          <w:rFonts w:hint="eastAsia" w:ascii="宋体" w:hAnsi="宋体" w:eastAsia="宋体" w:cs="宋体"/>
          <w:b/>
          <w:color w:val="auto"/>
          <w:sz w:val="24"/>
          <w:szCs w:val="24"/>
          <w:highlight w:val="none"/>
          <w:lang w:bidi="ar"/>
        </w:rPr>
        <w:t>、诚信投标承诺书</w:t>
      </w:r>
      <w:bookmarkEnd w:id="84"/>
    </w:p>
    <w:p w14:paraId="4B097837">
      <w:p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本人以企业法定代表人的身份郑重承诺：</w:t>
      </w:r>
    </w:p>
    <w:p w14:paraId="4555C1BA">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一、将遵循公开、公正和诚实信用的原则自愿参加</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项目的投标，所提供的一切材料都是真实、有效、合法的；</w:t>
      </w:r>
    </w:p>
    <w:p w14:paraId="05F5DE0E">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44547EA0">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三、不出借、转让资质证书，不让他人挂靠投标，不以他人名义投标或者以其他方式弄虚作假，骗取中标；</w:t>
      </w:r>
    </w:p>
    <w:p w14:paraId="788A9B29">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四、不与其他投标人相互串通投标报价，不排挤其他投标人的公平竞争、损害招标人的合法权益；</w:t>
      </w:r>
    </w:p>
    <w:p w14:paraId="786F6854">
      <w:pPr>
        <w:spacing w:line="500" w:lineRule="exact"/>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五、不与招标人、招标代理机构或其他投标人串通投标，损害国家利益、社会公共利益或者他人的合法权益；</w:t>
      </w:r>
    </w:p>
    <w:p w14:paraId="54CE7DEC">
      <w:pPr>
        <w:spacing w:line="500" w:lineRule="exact"/>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六、</w:t>
      </w:r>
      <w:r>
        <w:rPr>
          <w:rFonts w:hint="eastAsia" w:ascii="宋体" w:hAnsi="宋体" w:eastAsia="宋体" w:cs="宋体"/>
          <w:color w:val="auto"/>
          <w:sz w:val="24"/>
          <w:szCs w:val="24"/>
          <w:highlight w:val="none"/>
          <w:lang w:val="en-US" w:eastAsia="zh-CN" w:bidi="ar"/>
        </w:rPr>
        <w:t xml:space="preserve">我公司没有下列情形：①被列入“信用中国”网站“失信被执行人”的； </w:t>
      </w:r>
    </w:p>
    <w:p w14:paraId="22D3DFD1">
      <w:pPr>
        <w:spacing w:line="500" w:lineRule="exac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 1-7 项信誉要求，在此一并承诺我公司所属分公司、办事处等分支机构没有上述 1-7 项情形）</w:t>
      </w:r>
    </w:p>
    <w:p w14:paraId="288AF87D">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七、严格遵守开标现场纪律，服从监管人员管理；</w:t>
      </w:r>
    </w:p>
    <w:p w14:paraId="766B8BE7">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八、保证中标后不转包，若有分包征得招标人同意；</w:t>
      </w:r>
    </w:p>
    <w:p w14:paraId="16E31B7A">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九、保证中标之后，按照投标文件要求提供相关后续服务；</w:t>
      </w:r>
    </w:p>
    <w:p w14:paraId="21A1C2DB">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十、保证企业及所属相关人员在本次投标中无行贿等犯罪行为；</w:t>
      </w:r>
    </w:p>
    <w:p w14:paraId="51A18AA2">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3D505C17">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4EE9C621">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962CFC7">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                      基本账户：</w:t>
      </w:r>
    </w:p>
    <w:p w14:paraId="5ECA05CB">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投标单位（盖章）：              法定代表人（签字或盖章）：</w:t>
      </w:r>
    </w:p>
    <w:p w14:paraId="074D2A5F">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65F2806">
      <w:pPr>
        <w:spacing w:line="560" w:lineRule="exact"/>
        <w:jc w:val="right"/>
        <w:rPr>
          <w:rFonts w:hint="eastAsia" w:ascii="仿宋_GB2312" w:eastAsia="仿宋_GB2312" w:cs="仿宋_GB2312"/>
          <w:color w:val="auto"/>
          <w:sz w:val="24"/>
          <w:szCs w:val="24"/>
          <w:highlight w:val="none"/>
        </w:rPr>
      </w:pPr>
      <w:r>
        <w:rPr>
          <w:rFonts w:hint="eastAsia" w:ascii="宋体" w:hAnsi="宋体" w:eastAsia="宋体" w:cs="宋体"/>
          <w:color w:val="auto"/>
          <w:sz w:val="24"/>
          <w:szCs w:val="24"/>
          <w:highlight w:val="none"/>
          <w:lang w:bidi="ar"/>
        </w:rPr>
        <w:t>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年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月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7B8F39C7">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bidi="ar"/>
        </w:rPr>
        <w:t xml:space="preserve"> </w:t>
      </w:r>
    </w:p>
    <w:p w14:paraId="40A8920F">
      <w:pPr>
        <w:spacing w:line="360" w:lineRule="auto"/>
        <w:jc w:val="center"/>
        <w:outlineLvl w:val="1"/>
        <w:rPr>
          <w:rFonts w:hint="eastAsia" w:asciiTheme="minorEastAsia" w:hAnsiTheme="minorEastAsia" w:eastAsiaTheme="minorEastAsia"/>
          <w:b/>
          <w:color w:val="auto"/>
          <w:sz w:val="24"/>
          <w:highlight w:val="none"/>
        </w:rPr>
      </w:pPr>
      <w:bookmarkStart w:id="85" w:name="_Toc32633"/>
      <w:bookmarkStart w:id="86" w:name="_Toc2683"/>
    </w:p>
    <w:p w14:paraId="744AF86F">
      <w:pPr>
        <w:spacing w:line="360" w:lineRule="auto"/>
        <w:jc w:val="center"/>
        <w:outlineLvl w:val="1"/>
        <w:rPr>
          <w:rFonts w:hint="eastAsia" w:asciiTheme="minorEastAsia" w:hAnsiTheme="minorEastAsia" w:eastAsiaTheme="minorEastAsia"/>
          <w:b/>
          <w:color w:val="auto"/>
          <w:sz w:val="24"/>
          <w:highlight w:val="none"/>
        </w:rPr>
      </w:pPr>
    </w:p>
    <w:p w14:paraId="5E28670E">
      <w:pPr>
        <w:spacing w:line="360" w:lineRule="auto"/>
        <w:jc w:val="center"/>
        <w:outlineLvl w:val="1"/>
        <w:rPr>
          <w:rFonts w:hint="eastAsia" w:asciiTheme="minorEastAsia" w:hAnsiTheme="minorEastAsia" w:eastAsiaTheme="minorEastAsia"/>
          <w:b/>
          <w:color w:val="auto"/>
          <w:sz w:val="24"/>
          <w:highlight w:val="none"/>
        </w:rPr>
      </w:pPr>
    </w:p>
    <w:p w14:paraId="1A478EFC">
      <w:pPr>
        <w:spacing w:line="360" w:lineRule="auto"/>
        <w:jc w:val="center"/>
        <w:outlineLvl w:val="1"/>
        <w:rPr>
          <w:rFonts w:hint="eastAsia" w:asciiTheme="minorEastAsia" w:hAnsiTheme="minorEastAsia" w:eastAsiaTheme="minorEastAsia"/>
          <w:b/>
          <w:color w:val="auto"/>
          <w:sz w:val="24"/>
          <w:highlight w:val="none"/>
        </w:rPr>
      </w:pPr>
    </w:p>
    <w:p w14:paraId="0E959626">
      <w:pPr>
        <w:spacing w:line="360" w:lineRule="auto"/>
        <w:jc w:val="center"/>
        <w:outlineLvl w:val="1"/>
        <w:rPr>
          <w:rFonts w:hint="eastAsia" w:asciiTheme="minorEastAsia" w:hAnsiTheme="minorEastAsia" w:eastAsiaTheme="minorEastAsia"/>
          <w:b/>
          <w:color w:val="auto"/>
          <w:sz w:val="24"/>
          <w:highlight w:val="none"/>
        </w:rPr>
      </w:pPr>
    </w:p>
    <w:p w14:paraId="28D7BCD2">
      <w:pPr>
        <w:spacing w:line="360" w:lineRule="auto"/>
        <w:jc w:val="center"/>
        <w:outlineLvl w:val="1"/>
        <w:rPr>
          <w:rFonts w:hint="eastAsia" w:asciiTheme="minorEastAsia" w:hAnsiTheme="minorEastAsia" w:eastAsiaTheme="minorEastAsia"/>
          <w:b/>
          <w:color w:val="auto"/>
          <w:sz w:val="24"/>
          <w:highlight w:val="none"/>
        </w:rPr>
      </w:pPr>
    </w:p>
    <w:p w14:paraId="6A6FC62E">
      <w:pPr>
        <w:spacing w:line="360" w:lineRule="auto"/>
        <w:jc w:val="center"/>
        <w:outlineLvl w:val="1"/>
        <w:rPr>
          <w:rFonts w:hint="eastAsia" w:asciiTheme="minorEastAsia" w:hAnsiTheme="minorEastAsia" w:eastAsiaTheme="minorEastAsia"/>
          <w:b/>
          <w:color w:val="auto"/>
          <w:sz w:val="24"/>
          <w:highlight w:val="none"/>
        </w:rPr>
      </w:pPr>
    </w:p>
    <w:p w14:paraId="4BBE446F">
      <w:pPr>
        <w:spacing w:line="360" w:lineRule="auto"/>
        <w:jc w:val="center"/>
        <w:outlineLvl w:val="1"/>
        <w:rPr>
          <w:rFonts w:hint="eastAsia" w:asciiTheme="minorEastAsia" w:hAnsiTheme="minorEastAsia" w:eastAsiaTheme="minorEastAsia"/>
          <w:b/>
          <w:color w:val="auto"/>
          <w:sz w:val="24"/>
          <w:highlight w:val="none"/>
        </w:rPr>
      </w:pPr>
    </w:p>
    <w:p w14:paraId="55B9052C">
      <w:pPr>
        <w:spacing w:line="360" w:lineRule="auto"/>
        <w:jc w:val="center"/>
        <w:outlineLvl w:val="1"/>
        <w:rPr>
          <w:rFonts w:hint="eastAsia" w:asciiTheme="minorEastAsia" w:hAnsiTheme="minorEastAsia" w:eastAsiaTheme="minorEastAsia"/>
          <w:b/>
          <w:color w:val="auto"/>
          <w:sz w:val="24"/>
          <w:highlight w:val="none"/>
        </w:rPr>
      </w:pPr>
      <w:bookmarkStart w:id="87" w:name="_Toc13239"/>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85"/>
      <w:bookmarkEnd w:id="86"/>
      <w:bookmarkEnd w:id="87"/>
    </w:p>
    <w:p w14:paraId="360845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665A568">
      <w:pPr>
        <w:spacing w:line="360" w:lineRule="auto"/>
        <w:ind w:firstLine="480" w:firstLineChars="200"/>
        <w:rPr>
          <w:rFonts w:hint="eastAsia" w:asciiTheme="minorEastAsia" w:hAnsiTheme="minorEastAsia" w:eastAsiaTheme="minorEastAsia"/>
          <w:color w:val="auto"/>
          <w:sz w:val="24"/>
          <w:highlight w:val="none"/>
        </w:rPr>
      </w:pPr>
    </w:p>
    <w:p w14:paraId="34878363">
      <w:pPr>
        <w:widowControl/>
        <w:jc w:val="left"/>
        <w:rPr>
          <w:rFonts w:hint="eastAsia" w:asciiTheme="minorEastAsia" w:hAnsiTheme="minorEastAsia" w:eastAsiaTheme="minorEastAsia"/>
          <w:color w:val="auto"/>
          <w:sz w:val="24"/>
          <w:highlight w:val="none"/>
        </w:rPr>
      </w:pPr>
    </w:p>
    <w:bookmarkEnd w:id="70"/>
    <w:bookmarkEnd w:id="71"/>
    <w:p w14:paraId="4DC84980">
      <w:pPr>
        <w:widowControl/>
        <w:jc w:val="center"/>
        <w:rPr>
          <w:rFonts w:hint="eastAsia" w:ascii="宋体" w:hAnsi="宋体" w:eastAsia="宋体" w:cs="宋体"/>
          <w:b/>
          <w:color w:val="auto"/>
          <w:sz w:val="24"/>
          <w:szCs w:val="24"/>
          <w:highlight w:val="none"/>
          <w:lang w:bidi="ar"/>
        </w:rPr>
      </w:pPr>
      <w:bookmarkStart w:id="88" w:name="_Toc6435"/>
    </w:p>
    <w:p w14:paraId="17B899DB">
      <w:pPr>
        <w:widowControl/>
        <w:jc w:val="center"/>
        <w:rPr>
          <w:rFonts w:hint="eastAsia" w:ascii="宋体" w:hAnsi="宋体" w:eastAsia="宋体" w:cs="宋体"/>
          <w:b/>
          <w:color w:val="auto"/>
          <w:sz w:val="24"/>
          <w:szCs w:val="24"/>
          <w:highlight w:val="none"/>
          <w:lang w:bidi="ar"/>
        </w:rPr>
      </w:pPr>
    </w:p>
    <w:p w14:paraId="1FF31EAF">
      <w:pPr>
        <w:widowControl/>
        <w:jc w:val="center"/>
        <w:rPr>
          <w:rFonts w:hint="eastAsia" w:ascii="宋体" w:hAnsi="宋体" w:eastAsia="宋体" w:cs="宋体"/>
          <w:b/>
          <w:color w:val="auto"/>
          <w:sz w:val="24"/>
          <w:szCs w:val="24"/>
          <w:highlight w:val="none"/>
          <w:lang w:bidi="ar"/>
        </w:rPr>
      </w:pPr>
    </w:p>
    <w:p w14:paraId="62EC526F">
      <w:pPr>
        <w:spacing w:line="360" w:lineRule="auto"/>
        <w:jc w:val="center"/>
        <w:outlineLvl w:val="0"/>
        <w:rPr>
          <w:rFonts w:hint="eastAsia" w:ascii="宋体" w:hAnsi="宋体" w:eastAsia="宋体"/>
          <w:b/>
          <w:bCs/>
          <w:color w:val="auto"/>
          <w:sz w:val="28"/>
          <w:highlight w:val="none"/>
        </w:rPr>
      </w:pPr>
      <w:bookmarkStart w:id="89" w:name="_Toc4179"/>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8"/>
      <w:bookmarkEnd w:id="89"/>
    </w:p>
    <w:p w14:paraId="1F23621D">
      <w:pPr>
        <w:spacing w:line="360" w:lineRule="auto"/>
        <w:jc w:val="center"/>
        <w:outlineLvl w:val="1"/>
        <w:rPr>
          <w:rFonts w:hint="eastAsia" w:ascii="仿宋" w:hAnsi="仿宋" w:eastAsia="仿宋" w:cs="仿宋"/>
          <w:b/>
          <w:bCs/>
          <w:color w:val="auto"/>
          <w:sz w:val="32"/>
          <w:szCs w:val="44"/>
          <w:highlight w:val="none"/>
        </w:rPr>
      </w:pPr>
      <w:bookmarkStart w:id="90" w:name="_Toc24616"/>
      <w:bookmarkStart w:id="91" w:name="_Toc27159"/>
      <w:bookmarkStart w:id="92" w:name="_Toc27489"/>
      <w:r>
        <w:rPr>
          <w:rFonts w:hint="eastAsia" w:ascii="仿宋" w:hAnsi="仿宋" w:eastAsia="仿宋" w:cs="仿宋"/>
          <w:b/>
          <w:bCs/>
          <w:color w:val="auto"/>
          <w:sz w:val="32"/>
          <w:szCs w:val="44"/>
          <w:highlight w:val="none"/>
        </w:rPr>
        <w:t>询问函范本</w:t>
      </w:r>
      <w:bookmarkEnd w:id="90"/>
      <w:bookmarkEnd w:id="91"/>
      <w:bookmarkEnd w:id="92"/>
    </w:p>
    <w:p w14:paraId="2B77BAB1">
      <w:pPr>
        <w:adjustRightInd w:val="0"/>
        <w:snapToGrid w:val="0"/>
        <w:spacing w:line="360" w:lineRule="auto"/>
        <w:rPr>
          <w:rFonts w:hint="eastAsia"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（如为对采购文件或采购程序的询问或疑问，请按询问函范本格式进行提交）</w:t>
      </w:r>
    </w:p>
    <w:p w14:paraId="2B41EF12">
      <w:pPr>
        <w:adjustRightInd w:val="0"/>
        <w:snapToGrid w:val="0"/>
        <w:spacing w:line="360" w:lineRule="auto"/>
        <w:rPr>
          <w:rFonts w:hint="eastAsia"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1B7D460E">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FF549A0">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bookmarkStart w:id="93" w:name="_Toc13899"/>
      <w:r>
        <w:rPr>
          <w:rFonts w:hint="eastAsia" w:cs="仿宋" w:asciiTheme="minorEastAsia" w:hAnsiTheme="minorEastAsia" w:eastAsiaTheme="minorEastAsia"/>
          <w:color w:val="auto"/>
          <w:sz w:val="24"/>
          <w:szCs w:val="24"/>
          <w:highlight w:val="none"/>
        </w:rPr>
        <w:t>一、(事项一)</w:t>
      </w:r>
      <w:bookmarkEnd w:id="93"/>
    </w:p>
    <w:p w14:paraId="70163DFD">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054FBF6">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752D951">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067E72C">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bookmarkStart w:id="94" w:name="_Toc3352"/>
      <w:r>
        <w:rPr>
          <w:rFonts w:hint="eastAsia" w:cs="仿宋" w:asciiTheme="minorEastAsia" w:hAnsiTheme="minorEastAsia" w:eastAsiaTheme="minorEastAsia"/>
          <w:color w:val="auto"/>
          <w:sz w:val="24"/>
          <w:szCs w:val="24"/>
          <w:highlight w:val="none"/>
        </w:rPr>
        <w:t>二、(事项二)</w:t>
      </w:r>
      <w:bookmarkEnd w:id="94"/>
    </w:p>
    <w:p w14:paraId="6D1C4871">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113FF80">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73DB36F">
      <w:pPr>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05196C64">
      <w:pPr>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3B5FDB3F">
      <w:pPr>
        <w:tabs>
          <w:tab w:val="left" w:pos="630"/>
        </w:tabs>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76ACC16">
      <w:pPr>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7245DC9">
      <w:pPr>
        <w:jc w:val="center"/>
        <w:outlineLvl w:val="1"/>
        <w:rPr>
          <w:rFonts w:hint="eastAsia" w:ascii="仿宋" w:hAnsi="仿宋" w:eastAsia="仿宋" w:cs="仿宋"/>
          <w:b/>
          <w:bCs/>
          <w:color w:val="auto"/>
          <w:sz w:val="32"/>
          <w:szCs w:val="44"/>
          <w:highlight w:val="none"/>
        </w:rPr>
      </w:pPr>
      <w:bookmarkStart w:id="95" w:name="_Toc1575"/>
      <w:bookmarkStart w:id="96" w:name="_Toc3245"/>
      <w:bookmarkStart w:id="97" w:name="_Toc22496"/>
      <w:r>
        <w:rPr>
          <w:rFonts w:hint="eastAsia" w:ascii="仿宋" w:hAnsi="仿宋" w:eastAsia="仿宋" w:cs="仿宋"/>
          <w:b/>
          <w:bCs/>
          <w:color w:val="auto"/>
          <w:sz w:val="32"/>
          <w:szCs w:val="44"/>
          <w:highlight w:val="none"/>
        </w:rPr>
        <w:t>质疑函范本</w:t>
      </w:r>
      <w:bookmarkEnd w:id="95"/>
      <w:bookmarkEnd w:id="96"/>
      <w:bookmarkEnd w:id="97"/>
    </w:p>
    <w:p w14:paraId="192E89D1">
      <w:pPr>
        <w:adjustRightInd w:val="0"/>
        <w:snapToGrid w:val="0"/>
        <w:spacing w:before="312" w:beforeLines="100" w:line="360" w:lineRule="auto"/>
        <w:rPr>
          <w:rFonts w:hint="eastAsia" w:cs="仿宋" w:asciiTheme="minorEastAsia" w:hAnsiTheme="minorEastAsia" w:eastAsiaTheme="minorEastAsia"/>
          <w:b/>
          <w:bCs/>
          <w:color w:val="auto"/>
          <w:sz w:val="24"/>
          <w:szCs w:val="24"/>
          <w:highlight w:val="none"/>
        </w:rPr>
      </w:pPr>
      <w:bookmarkStart w:id="98" w:name="_Toc21381"/>
      <w:r>
        <w:rPr>
          <w:rFonts w:hint="eastAsia" w:cs="仿宋" w:asciiTheme="minorEastAsia" w:hAnsiTheme="minorEastAsia" w:eastAsiaTheme="minorEastAsia"/>
          <w:b/>
          <w:bCs/>
          <w:color w:val="auto"/>
          <w:sz w:val="24"/>
          <w:szCs w:val="24"/>
          <w:highlight w:val="none"/>
        </w:rPr>
        <w:t>一、质疑供应商基本信息</w:t>
      </w:r>
      <w:bookmarkEnd w:id="98"/>
    </w:p>
    <w:p w14:paraId="2969C755">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A10C864">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0E48D3A">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B0ACF4C">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18BF7FA9">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0591435A">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0D175B7">
      <w:pPr>
        <w:adjustRightInd w:val="0"/>
        <w:snapToGrid w:val="0"/>
        <w:spacing w:line="360" w:lineRule="auto"/>
        <w:rPr>
          <w:rFonts w:hint="eastAsia" w:cs="仿宋" w:asciiTheme="minorEastAsia" w:hAnsiTheme="minorEastAsia" w:eastAsiaTheme="minorEastAsia"/>
          <w:b/>
          <w:bCs/>
          <w:color w:val="auto"/>
          <w:sz w:val="24"/>
          <w:szCs w:val="24"/>
          <w:highlight w:val="none"/>
        </w:rPr>
      </w:pPr>
      <w:bookmarkStart w:id="99" w:name="_Toc28415"/>
      <w:r>
        <w:rPr>
          <w:rFonts w:hint="eastAsia" w:cs="仿宋" w:asciiTheme="minorEastAsia" w:hAnsiTheme="minorEastAsia" w:eastAsiaTheme="minorEastAsia"/>
          <w:b/>
          <w:bCs/>
          <w:color w:val="auto"/>
          <w:sz w:val="24"/>
          <w:szCs w:val="24"/>
          <w:highlight w:val="none"/>
        </w:rPr>
        <w:t>二、质疑项目基本情况</w:t>
      </w:r>
      <w:bookmarkEnd w:id="99"/>
    </w:p>
    <w:p w14:paraId="6E9DB2C9">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2E0C9E6">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4AE4036">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BE258A4">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56F83B1">
      <w:pPr>
        <w:adjustRightInd w:val="0"/>
        <w:snapToGrid w:val="0"/>
        <w:spacing w:line="360" w:lineRule="auto"/>
        <w:rPr>
          <w:rFonts w:hint="eastAsia" w:cs="仿宋" w:asciiTheme="minorEastAsia" w:hAnsiTheme="minorEastAsia" w:eastAsiaTheme="minorEastAsia"/>
          <w:b/>
          <w:bCs/>
          <w:color w:val="auto"/>
          <w:sz w:val="24"/>
          <w:szCs w:val="24"/>
          <w:highlight w:val="none"/>
        </w:rPr>
      </w:pPr>
      <w:bookmarkStart w:id="100" w:name="_Toc19014"/>
      <w:r>
        <w:rPr>
          <w:rFonts w:hint="eastAsia" w:cs="仿宋" w:asciiTheme="minorEastAsia" w:hAnsiTheme="minorEastAsia" w:eastAsiaTheme="minorEastAsia"/>
          <w:b/>
          <w:bCs/>
          <w:color w:val="auto"/>
          <w:sz w:val="24"/>
          <w:szCs w:val="24"/>
          <w:highlight w:val="none"/>
        </w:rPr>
        <w:t>三、质疑事项具体内容</w:t>
      </w:r>
      <w:bookmarkEnd w:id="100"/>
    </w:p>
    <w:p w14:paraId="721BD74B">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311F48B7">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83560AF">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2CAE8FF">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D596D28">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ABD6E4C">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03D407C">
      <w:pPr>
        <w:adjustRightInd w:val="0"/>
        <w:snapToGrid w:val="0"/>
        <w:spacing w:line="360" w:lineRule="auto"/>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8DFBE05">
      <w:pPr>
        <w:adjustRightInd w:val="0"/>
        <w:snapToGrid w:val="0"/>
        <w:spacing w:line="360" w:lineRule="auto"/>
        <w:rPr>
          <w:rFonts w:hint="eastAsia" w:cs="仿宋" w:asciiTheme="minorEastAsia" w:hAnsiTheme="minorEastAsia" w:eastAsiaTheme="minorEastAsia"/>
          <w:b/>
          <w:bCs/>
          <w:color w:val="auto"/>
          <w:sz w:val="24"/>
          <w:szCs w:val="24"/>
          <w:highlight w:val="none"/>
        </w:rPr>
      </w:pPr>
      <w:bookmarkStart w:id="101" w:name="_Toc17919"/>
      <w:r>
        <w:rPr>
          <w:rFonts w:hint="eastAsia" w:cs="仿宋" w:asciiTheme="minorEastAsia" w:hAnsiTheme="minorEastAsia" w:eastAsiaTheme="minorEastAsia"/>
          <w:b/>
          <w:bCs/>
          <w:color w:val="auto"/>
          <w:sz w:val="24"/>
          <w:szCs w:val="24"/>
          <w:highlight w:val="none"/>
        </w:rPr>
        <w:t>四、与质疑事项相关的质疑请求</w:t>
      </w:r>
      <w:bookmarkEnd w:id="101"/>
    </w:p>
    <w:p w14:paraId="1A89B204">
      <w:pPr>
        <w:adjustRightInd w:val="0"/>
        <w:snapToGrid w:val="0"/>
        <w:spacing w:line="360" w:lineRule="auto"/>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F7F0205">
      <w:pPr>
        <w:spacing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签字(签字或盖章)：                   公章：                      </w:t>
      </w:r>
    </w:p>
    <w:p w14:paraId="367D46FE">
      <w:pPr>
        <w:spacing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F195B8E">
      <w:pPr>
        <w:widowControl/>
        <w:jc w:val="left"/>
        <w:rPr>
          <w:rFonts w:hint="eastAsia"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ADA5C43">
      <w:pPr>
        <w:outlineLvl w:val="0"/>
        <w:rPr>
          <w:rFonts w:hint="eastAsia" w:asciiTheme="minorEastAsia" w:hAnsiTheme="minorEastAsia" w:eastAsiaTheme="minorEastAsia"/>
          <w:b/>
          <w:color w:val="auto"/>
          <w:sz w:val="28"/>
          <w:szCs w:val="32"/>
          <w:highlight w:val="none"/>
        </w:rPr>
      </w:pPr>
      <w:bookmarkStart w:id="102" w:name="_Toc26836"/>
      <w:bookmarkStart w:id="103" w:name="_Toc12929"/>
      <w:bookmarkStart w:id="104" w:name="_Toc9754"/>
      <w:r>
        <w:rPr>
          <w:rFonts w:hint="eastAsia" w:asciiTheme="minorEastAsia" w:hAnsiTheme="minorEastAsia" w:eastAsiaTheme="minorEastAsia"/>
          <w:b/>
          <w:color w:val="auto"/>
          <w:sz w:val="28"/>
          <w:szCs w:val="32"/>
          <w:highlight w:val="none"/>
        </w:rPr>
        <w:t>质疑函制作说明：</w:t>
      </w:r>
      <w:bookmarkEnd w:id="102"/>
      <w:bookmarkEnd w:id="103"/>
      <w:bookmarkEnd w:id="104"/>
    </w:p>
    <w:p w14:paraId="76122B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220057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17F9C8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67A3994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A3C8DF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01F0DA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525BA01A">
      <w:pPr>
        <w:spacing w:line="360" w:lineRule="auto"/>
        <w:ind w:firstLine="435"/>
        <w:rPr>
          <w:rFonts w:hint="eastAsia" w:asciiTheme="minorEastAsia" w:hAnsiTheme="minorEastAsia" w:eastAsiaTheme="minorEastAsia"/>
          <w:color w:val="auto"/>
          <w:sz w:val="24"/>
          <w:highlight w:val="none"/>
        </w:rPr>
      </w:pPr>
    </w:p>
    <w:p w14:paraId="2019D685">
      <w:pPr>
        <w:spacing w:line="360" w:lineRule="auto"/>
        <w:ind w:firstLine="435"/>
        <w:rPr>
          <w:rFonts w:hint="eastAsia" w:asciiTheme="minorEastAsia" w:hAnsiTheme="minorEastAsia" w:eastAsiaTheme="minorEastAsia"/>
          <w:color w:val="auto"/>
          <w:sz w:val="24"/>
          <w:highlight w:val="none"/>
        </w:rPr>
      </w:pPr>
    </w:p>
    <w:p w14:paraId="1A477453">
      <w:pPr>
        <w:spacing w:line="360" w:lineRule="auto"/>
        <w:ind w:firstLine="435"/>
        <w:rPr>
          <w:rFonts w:hint="eastAsia" w:asciiTheme="minorEastAsia" w:hAnsiTheme="minorEastAsia" w:eastAsiaTheme="minorEastAsia"/>
          <w:color w:val="auto"/>
          <w:sz w:val="24"/>
          <w:highlight w:val="none"/>
        </w:rPr>
      </w:pPr>
    </w:p>
    <w:p w14:paraId="42465CFC">
      <w:pPr>
        <w:spacing w:line="360" w:lineRule="auto"/>
        <w:ind w:firstLine="435"/>
        <w:rPr>
          <w:rFonts w:hint="eastAsia" w:asciiTheme="minorEastAsia" w:hAnsiTheme="minorEastAsia" w:eastAsiaTheme="minorEastAsia"/>
          <w:color w:val="auto"/>
          <w:sz w:val="24"/>
          <w:highlight w:val="none"/>
        </w:rPr>
      </w:pPr>
    </w:p>
    <w:p w14:paraId="2069F84E">
      <w:pPr>
        <w:spacing w:line="360" w:lineRule="auto"/>
        <w:ind w:firstLine="435"/>
        <w:rPr>
          <w:rFonts w:hint="eastAsia" w:asciiTheme="minorEastAsia" w:hAnsiTheme="minorEastAsia" w:eastAsiaTheme="minorEastAsia"/>
          <w:color w:val="auto"/>
          <w:sz w:val="24"/>
          <w:highlight w:val="none"/>
        </w:rPr>
      </w:pPr>
    </w:p>
    <w:p w14:paraId="1C678A20">
      <w:pPr>
        <w:spacing w:line="360" w:lineRule="auto"/>
        <w:ind w:firstLine="435"/>
        <w:rPr>
          <w:rFonts w:hint="eastAsia" w:asciiTheme="minorEastAsia" w:hAnsiTheme="minorEastAsia" w:eastAsiaTheme="minorEastAsia"/>
          <w:color w:val="auto"/>
          <w:sz w:val="24"/>
          <w:highlight w:val="none"/>
        </w:rPr>
      </w:pPr>
    </w:p>
    <w:p w14:paraId="4B2AB388">
      <w:pPr>
        <w:spacing w:line="360" w:lineRule="auto"/>
        <w:ind w:firstLine="435"/>
        <w:rPr>
          <w:rFonts w:hint="eastAsia" w:asciiTheme="minorEastAsia" w:hAnsiTheme="minorEastAsia" w:eastAsiaTheme="minorEastAsia"/>
          <w:color w:val="auto"/>
          <w:sz w:val="24"/>
          <w:highlight w:val="none"/>
        </w:rPr>
      </w:pPr>
    </w:p>
    <w:p w14:paraId="4036544E">
      <w:pPr>
        <w:spacing w:line="360" w:lineRule="auto"/>
        <w:ind w:firstLine="435"/>
        <w:rPr>
          <w:rFonts w:hint="eastAsia" w:asciiTheme="minorEastAsia" w:hAnsiTheme="minorEastAsia" w:eastAsiaTheme="minorEastAsia"/>
          <w:color w:val="auto"/>
          <w:sz w:val="24"/>
          <w:highlight w:val="none"/>
        </w:rPr>
      </w:pPr>
    </w:p>
    <w:p w14:paraId="7F4CFD63">
      <w:pPr>
        <w:spacing w:line="360" w:lineRule="auto"/>
        <w:ind w:firstLine="435"/>
        <w:rPr>
          <w:rFonts w:hint="eastAsia" w:asciiTheme="minorEastAsia" w:hAnsiTheme="minorEastAsia" w:eastAsiaTheme="minorEastAsia"/>
          <w:color w:val="auto"/>
          <w:sz w:val="24"/>
          <w:highlight w:val="none"/>
        </w:rPr>
      </w:pPr>
    </w:p>
    <w:p w14:paraId="47A1C2FD">
      <w:pPr>
        <w:spacing w:line="360" w:lineRule="auto"/>
        <w:ind w:firstLine="435"/>
        <w:rPr>
          <w:rFonts w:hint="eastAsia" w:asciiTheme="minorEastAsia" w:hAnsiTheme="minorEastAsia" w:eastAsiaTheme="minorEastAsia"/>
          <w:color w:val="auto"/>
          <w:sz w:val="24"/>
          <w:highlight w:val="none"/>
        </w:rPr>
      </w:pPr>
    </w:p>
    <w:p w14:paraId="23C23FD9">
      <w:pPr>
        <w:spacing w:line="360" w:lineRule="auto"/>
        <w:ind w:firstLine="435"/>
        <w:rPr>
          <w:rFonts w:hint="eastAsia" w:asciiTheme="minorEastAsia" w:hAnsiTheme="minorEastAsia" w:eastAsiaTheme="minorEastAsia"/>
          <w:color w:val="auto"/>
          <w:sz w:val="24"/>
          <w:highlight w:val="none"/>
        </w:rPr>
      </w:pPr>
    </w:p>
    <w:p w14:paraId="6E183CCC">
      <w:pPr>
        <w:spacing w:line="360" w:lineRule="auto"/>
        <w:ind w:firstLine="435"/>
        <w:rPr>
          <w:rFonts w:hint="eastAsia" w:asciiTheme="minorEastAsia" w:hAnsiTheme="minorEastAsia" w:eastAsiaTheme="minorEastAsia"/>
          <w:color w:val="auto"/>
          <w:sz w:val="24"/>
          <w:highlight w:val="none"/>
        </w:rPr>
      </w:pPr>
    </w:p>
    <w:p w14:paraId="32E15D90">
      <w:pPr>
        <w:spacing w:line="360" w:lineRule="auto"/>
        <w:ind w:firstLine="435"/>
        <w:rPr>
          <w:rFonts w:hint="eastAsia" w:asciiTheme="minorEastAsia" w:hAnsiTheme="minorEastAsia" w:eastAsiaTheme="minorEastAsia"/>
          <w:color w:val="auto"/>
          <w:sz w:val="24"/>
          <w:highlight w:val="none"/>
        </w:rPr>
      </w:pPr>
    </w:p>
    <w:p w14:paraId="0ACF361B">
      <w:pPr>
        <w:spacing w:line="360" w:lineRule="auto"/>
        <w:ind w:firstLine="435"/>
        <w:rPr>
          <w:rFonts w:hint="eastAsia" w:asciiTheme="minorEastAsia" w:hAnsiTheme="minorEastAsia" w:eastAsiaTheme="minorEastAsia"/>
          <w:color w:val="auto"/>
          <w:sz w:val="24"/>
          <w:highlight w:val="none"/>
        </w:rPr>
      </w:pPr>
    </w:p>
    <w:p w14:paraId="4A5B66A6">
      <w:pPr>
        <w:spacing w:line="360" w:lineRule="auto"/>
        <w:ind w:firstLine="435"/>
        <w:rPr>
          <w:rFonts w:hint="eastAsia" w:asciiTheme="minorEastAsia" w:hAnsiTheme="minorEastAsia" w:eastAsiaTheme="minorEastAsia"/>
          <w:color w:val="auto"/>
          <w:sz w:val="24"/>
          <w:highlight w:val="none"/>
        </w:rPr>
      </w:pPr>
    </w:p>
    <w:p w14:paraId="2F7DDB07">
      <w:pPr>
        <w:spacing w:line="360" w:lineRule="auto"/>
        <w:ind w:firstLine="435"/>
        <w:rPr>
          <w:rFonts w:hint="eastAsia" w:asciiTheme="minorEastAsia" w:hAnsiTheme="minorEastAsia" w:eastAsiaTheme="minorEastAsia"/>
          <w:color w:val="auto"/>
          <w:sz w:val="24"/>
          <w:highlight w:val="none"/>
        </w:rPr>
      </w:pPr>
    </w:p>
    <w:p w14:paraId="0A486487">
      <w:pPr>
        <w:spacing w:line="360" w:lineRule="auto"/>
        <w:ind w:firstLine="435"/>
        <w:rPr>
          <w:rFonts w:hint="eastAsia" w:asciiTheme="minorEastAsia" w:hAnsiTheme="minorEastAsia" w:eastAsiaTheme="minorEastAsia"/>
          <w:color w:val="auto"/>
          <w:sz w:val="24"/>
          <w:highlight w:val="none"/>
        </w:rPr>
      </w:pPr>
    </w:p>
    <w:p w14:paraId="16453F60">
      <w:pPr>
        <w:spacing w:line="360" w:lineRule="auto"/>
        <w:ind w:firstLine="435"/>
        <w:rPr>
          <w:rFonts w:hint="eastAsia" w:asciiTheme="minorEastAsia" w:hAnsiTheme="minorEastAsia" w:eastAsiaTheme="minorEastAsia"/>
          <w:color w:val="auto"/>
          <w:sz w:val="24"/>
          <w:highlight w:val="none"/>
        </w:rPr>
      </w:pPr>
    </w:p>
    <w:p w14:paraId="4FD04B6B">
      <w:pPr>
        <w:keepNext/>
        <w:keepLines/>
        <w:widowControl w:val="0"/>
        <w:suppressLineNumbers w:val="0"/>
        <w:spacing w:before="200" w:beforeAutospacing="0" w:after="200" w:afterAutospacing="0" w:line="600" w:lineRule="exact"/>
        <w:ind w:left="0" w:right="0"/>
        <w:jc w:val="both"/>
        <w:outlineLvl w:val="0"/>
        <w:rPr>
          <w:rFonts w:hint="eastAsia" w:ascii="宋体" w:hAnsi="宋体" w:eastAsia="宋体" w:cs="宋体"/>
          <w:b/>
          <w:bCs/>
          <w:color w:val="auto"/>
          <w:kern w:val="44"/>
          <w:sz w:val="32"/>
          <w:szCs w:val="32"/>
          <w:highlight w:val="none"/>
        </w:rPr>
      </w:pPr>
      <w:bookmarkStart w:id="105" w:name="OLE_LINK144"/>
      <w:bookmarkStart w:id="106" w:name="_Toc14063"/>
      <w:r>
        <w:rPr>
          <w:rFonts w:hint="eastAsia" w:ascii="宋体" w:hAnsi="宋体" w:eastAsia="宋体" w:cs="宋体"/>
          <w:b/>
          <w:bCs/>
          <w:color w:val="auto"/>
          <w:kern w:val="44"/>
          <w:sz w:val="32"/>
          <w:szCs w:val="32"/>
          <w:highlight w:val="none"/>
          <w:lang w:val="en-US" w:eastAsia="zh-CN" w:bidi="ar"/>
        </w:rPr>
        <w:t>附件1 关于联合惩戒失信行为加强信用查询管理的通知</w:t>
      </w:r>
      <w:bookmarkEnd w:id="105"/>
      <w:bookmarkEnd w:id="106"/>
    </w:p>
    <w:p w14:paraId="4FBB2508">
      <w:pPr>
        <w:keepNext w:val="0"/>
        <w:keepLines w:val="0"/>
        <w:widowControl w:val="0"/>
        <w:suppressLineNumbers w:val="0"/>
        <w:autoSpaceDE w:val="0"/>
        <w:autoSpaceDN/>
        <w:adjustRightInd w:val="0"/>
        <w:snapToGrid w:val="0"/>
        <w:spacing w:before="0" w:beforeAutospacing="0" w:after="0" w:afterAutospacing="0" w:line="50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一、失信行为联合惩戒的范围和查询渠道</w:t>
      </w:r>
    </w:p>
    <w:p w14:paraId="641F42B1">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在我市公共资源交易活动中对存在下列失信行为的投标人、法定代表人及其项目经理（建造师）实施联合惩戒，禁止参与我市公共资源交易活动。</w:t>
      </w:r>
    </w:p>
    <w:p w14:paraId="646F37F3">
      <w:pPr>
        <w:keepNext w:val="0"/>
        <w:keepLines w:val="0"/>
        <w:widowControl w:val="0"/>
        <w:suppressLineNumbers w:val="0"/>
        <w:autoSpaceDE w:val="0"/>
        <w:autoSpaceDN/>
        <w:adjustRightInd w:val="0"/>
        <w:snapToGrid w:val="0"/>
        <w:spacing w:before="0" w:beforeAutospacing="0" w:after="0" w:afterAutospacing="0" w:line="50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（一）工程建设项目</w:t>
      </w:r>
    </w:p>
    <w:p w14:paraId="1373ABEC">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1、“信用中国”网站（www.creditchina.gov.cn）查询</w:t>
      </w:r>
      <w:bookmarkStart w:id="107" w:name="OLE_LINK92"/>
      <w:bookmarkEnd w:id="107"/>
      <w:bookmarkStart w:id="108" w:name="OLE_LINK91"/>
      <w:bookmarkEnd w:id="108"/>
      <w:bookmarkStart w:id="109" w:name="OLE_LINK93"/>
      <w:bookmarkEnd w:id="109"/>
      <w:bookmarkStart w:id="110" w:name="OLE_LINK103"/>
      <w:r>
        <w:rPr>
          <w:rFonts w:hint="eastAsia" w:ascii="宋体" w:hAnsi="宋体" w:eastAsia="宋体" w:cs="宋体"/>
          <w:color w:val="auto"/>
          <w:kern w:val="2"/>
          <w:sz w:val="24"/>
          <w:szCs w:val="24"/>
          <w:highlight w:val="none"/>
          <w:lang w:val="en-US" w:eastAsia="zh-CN" w:bidi="ar"/>
        </w:rPr>
        <w:t>投标人、法定代表人及其项目经理(建造师)</w:t>
      </w:r>
      <w:bookmarkEnd w:id="110"/>
      <w:r>
        <w:rPr>
          <w:rFonts w:hint="eastAsia" w:ascii="宋体" w:hAnsi="宋体" w:eastAsia="宋体" w:cs="宋体"/>
          <w:color w:val="auto"/>
          <w:kern w:val="2"/>
          <w:sz w:val="24"/>
          <w:szCs w:val="24"/>
          <w:highlight w:val="none"/>
          <w:lang w:val="en-US" w:eastAsia="zh-CN" w:bidi="ar"/>
        </w:rPr>
        <w:t>以下失信行为：</w:t>
      </w:r>
    </w:p>
    <w:p w14:paraId="3FB88CA7">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bookmarkStart w:id="111" w:name="OLE_LINK86"/>
      <w:bookmarkEnd w:id="111"/>
      <w:bookmarkStart w:id="112" w:name="OLE_LINK87"/>
      <w:bookmarkEnd w:id="112"/>
      <w:bookmarkStart w:id="113" w:name="OLE_LINK119"/>
      <w:bookmarkEnd w:id="113"/>
      <w:bookmarkStart w:id="114" w:name="OLE_LINK94"/>
      <w:r>
        <w:rPr>
          <w:rFonts w:hint="eastAsia" w:ascii="宋体" w:hAnsi="宋体" w:eastAsia="宋体" w:cs="宋体"/>
          <w:color w:val="auto"/>
          <w:kern w:val="2"/>
          <w:sz w:val="24"/>
          <w:szCs w:val="24"/>
          <w:highlight w:val="none"/>
          <w:lang w:val="en-US" w:eastAsia="zh-CN" w:bidi="ar"/>
        </w:rPr>
        <w:t>①被列入“失信被执行人”的;</w:t>
      </w:r>
      <w:bookmarkEnd w:id="114"/>
    </w:p>
    <w:p w14:paraId="2F920504">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②被列入</w:t>
      </w:r>
      <w:bookmarkStart w:id="115" w:name="OLE_LINK115"/>
      <w:bookmarkEnd w:id="115"/>
      <w:bookmarkStart w:id="116" w:name="OLE_LINK117"/>
      <w:bookmarkEnd w:id="116"/>
      <w:bookmarkStart w:id="117" w:name="OLE_LINK116"/>
      <w:bookmarkEnd w:id="117"/>
      <w:bookmarkStart w:id="118" w:name="OLE_LINK118"/>
      <w:r>
        <w:rPr>
          <w:rFonts w:hint="eastAsia" w:ascii="宋体" w:hAnsi="宋体" w:eastAsia="宋体" w:cs="宋体"/>
          <w:color w:val="auto"/>
          <w:kern w:val="2"/>
          <w:sz w:val="24"/>
          <w:szCs w:val="24"/>
          <w:highlight w:val="none"/>
          <w:lang w:val="en-US" w:eastAsia="zh-CN" w:bidi="ar"/>
        </w:rPr>
        <w:t>“重大税收违法失信主体”</w:t>
      </w:r>
      <w:bookmarkEnd w:id="118"/>
      <w:r>
        <w:rPr>
          <w:rFonts w:hint="eastAsia" w:ascii="宋体" w:hAnsi="宋体" w:eastAsia="宋体" w:cs="宋体"/>
          <w:color w:val="auto"/>
          <w:kern w:val="2"/>
          <w:sz w:val="24"/>
          <w:szCs w:val="24"/>
          <w:highlight w:val="none"/>
          <w:lang w:val="en-US" w:eastAsia="zh-CN" w:bidi="ar"/>
        </w:rPr>
        <w:t>的；</w:t>
      </w:r>
    </w:p>
    <w:p w14:paraId="510F047A">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③被列入“拖欠</w:t>
      </w:r>
      <w:bookmarkStart w:id="119" w:name="OLE_LINK85"/>
      <w:bookmarkEnd w:id="119"/>
      <w:bookmarkStart w:id="120" w:name="OLE_LINK84"/>
      <w:r>
        <w:rPr>
          <w:rFonts w:hint="eastAsia" w:ascii="宋体" w:hAnsi="宋体" w:eastAsia="宋体" w:cs="宋体"/>
          <w:color w:val="auto"/>
          <w:kern w:val="2"/>
          <w:sz w:val="24"/>
          <w:szCs w:val="24"/>
          <w:highlight w:val="none"/>
          <w:lang w:val="en-US" w:eastAsia="zh-CN" w:bidi="ar"/>
        </w:rPr>
        <w:t>农民工工资失信联合惩戒对象</w:t>
      </w:r>
      <w:bookmarkEnd w:id="120"/>
      <w:r>
        <w:rPr>
          <w:rFonts w:hint="eastAsia" w:ascii="宋体" w:hAnsi="宋体" w:eastAsia="宋体" w:cs="宋体"/>
          <w:color w:val="auto"/>
          <w:kern w:val="2"/>
          <w:sz w:val="24"/>
          <w:szCs w:val="24"/>
          <w:highlight w:val="none"/>
          <w:lang w:val="en-US" w:eastAsia="zh-CN" w:bidi="ar"/>
        </w:rPr>
        <w:t>名单”的；</w:t>
      </w:r>
    </w:p>
    <w:p w14:paraId="551526AF">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④被列入 “严重失信主体名单”的；</w:t>
      </w:r>
    </w:p>
    <w:p w14:paraId="1E702DD2">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⑤在“信用中国”网站上披露的仍在公示期的严重失信行为(具体行为类别及判定依据见附件2)的。</w:t>
      </w:r>
    </w:p>
    <w:p w14:paraId="16CFAF03">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bookmarkStart w:id="121" w:name="OLE_LINK130"/>
      <w:r>
        <w:rPr>
          <w:rFonts w:hint="eastAsia" w:ascii="宋体" w:hAnsi="宋体" w:eastAsia="宋体" w:cs="宋体"/>
          <w:color w:val="auto"/>
          <w:kern w:val="2"/>
          <w:sz w:val="24"/>
          <w:szCs w:val="24"/>
          <w:highlight w:val="none"/>
          <w:lang w:val="en-US" w:eastAsia="zh-CN" w:bidi="ar"/>
        </w:rPr>
        <w:t>国家企业信用信息公示系统网站</w:t>
      </w:r>
      <w:bookmarkEnd w:id="121"/>
      <w:r>
        <w:rPr>
          <w:rFonts w:hint="eastAsia" w:ascii="宋体" w:hAnsi="宋体" w:eastAsia="宋体" w:cs="宋体"/>
          <w:color w:val="auto"/>
          <w:kern w:val="2"/>
          <w:sz w:val="24"/>
          <w:szCs w:val="24"/>
          <w:highlight w:val="none"/>
          <w:lang w:val="en-US" w:eastAsia="zh-CN" w:bidi="ar"/>
        </w:rPr>
        <w:t>（</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"http://www.gsxt.gov.cn）查询"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sz w:val="24"/>
          <w:szCs w:val="24"/>
          <w:highlight w:val="none"/>
          <w:u w:val="single"/>
        </w:rPr>
        <w:t>www.gsxt.gov.cn）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查询投标人以下失信行为：</w:t>
      </w:r>
    </w:p>
    <w:p w14:paraId="247F21C7">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bookmarkStart w:id="122" w:name="OLE_LINK120"/>
      <w:bookmarkEnd w:id="122"/>
      <w:bookmarkStart w:id="123" w:name="OLE_LINK121"/>
      <w:bookmarkEnd w:id="123"/>
      <w:bookmarkStart w:id="124" w:name="OLE_LINK122"/>
      <w:r>
        <w:rPr>
          <w:rFonts w:hint="eastAsia" w:ascii="宋体" w:hAnsi="宋体" w:eastAsia="宋体" w:cs="宋体"/>
          <w:color w:val="auto"/>
          <w:kern w:val="2"/>
          <w:sz w:val="24"/>
          <w:szCs w:val="24"/>
          <w:highlight w:val="none"/>
          <w:lang w:val="en-US" w:eastAsia="zh-CN" w:bidi="ar"/>
        </w:rPr>
        <w:t>①被列入“经营异常名录”或者“严重违法失信名单”的。</w:t>
      </w:r>
      <w:bookmarkEnd w:id="124"/>
    </w:p>
    <w:p w14:paraId="477EEAD9">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3、由</w:t>
      </w:r>
      <w:r>
        <w:rPr>
          <w:rFonts w:hint="eastAsia" w:ascii="宋体" w:hAnsi="宋体" w:eastAsia="宋体" w:cs="宋体"/>
          <w:color w:val="auto"/>
          <w:kern w:val="0"/>
          <w:sz w:val="24"/>
          <w:szCs w:val="24"/>
          <w:highlight w:val="none"/>
          <w:lang w:val="en-US" w:eastAsia="zh-CN" w:bidi="ar"/>
        </w:rPr>
        <w:t>投标人、法定代表人及其项目经理(建造师)</w:t>
      </w:r>
      <w:r>
        <w:rPr>
          <w:rFonts w:hint="eastAsia" w:ascii="宋体" w:hAnsi="宋体" w:eastAsia="宋体" w:cs="宋体"/>
          <w:color w:val="auto"/>
          <w:kern w:val="2"/>
          <w:sz w:val="24"/>
          <w:szCs w:val="24"/>
          <w:highlight w:val="none"/>
          <w:lang w:val="en-US" w:eastAsia="zh-CN" w:bidi="ar"/>
        </w:rPr>
        <w:t>进行承诺，不进行现场网上信用查询的失信行为：</w:t>
      </w:r>
    </w:p>
    <w:p w14:paraId="18BAF346">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bookmarkStart w:id="125" w:name="OLE_LINK123"/>
      <w:bookmarkEnd w:id="125"/>
      <w:bookmarkStart w:id="126" w:name="OLE_LINK124"/>
      <w:r>
        <w:rPr>
          <w:rFonts w:hint="eastAsia" w:ascii="宋体" w:hAnsi="宋体" w:eastAsia="宋体" w:cs="宋体"/>
          <w:color w:val="auto"/>
          <w:kern w:val="2"/>
          <w:sz w:val="24"/>
          <w:szCs w:val="24"/>
          <w:highlight w:val="none"/>
          <w:lang w:val="en-US" w:eastAsia="zh-CN" w:bidi="ar"/>
        </w:rPr>
        <w:t>①</w:t>
      </w:r>
      <w:bookmarkEnd w:id="126"/>
      <w:r>
        <w:rPr>
          <w:rFonts w:hint="eastAsia" w:ascii="宋体" w:hAnsi="宋体" w:eastAsia="宋体" w:cs="宋体"/>
          <w:color w:val="auto"/>
          <w:kern w:val="2"/>
          <w:sz w:val="24"/>
          <w:szCs w:val="24"/>
          <w:highlight w:val="none"/>
          <w:lang w:val="en-US" w:eastAsia="zh-CN" w:bidi="ar"/>
        </w:rPr>
        <w:t>前三年有行贿犯罪行为的单位和个人；</w:t>
      </w:r>
    </w:p>
    <w:p w14:paraId="7B38E93C">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②被滁州市县两级公管部门取消在一定期限内的投标资格且在取消期限内的；</w:t>
      </w:r>
    </w:p>
    <w:p w14:paraId="0EC33077">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③被滁州市县两级各行业主管部门取消在一定期限内的投标资格且在取消期限内的；</w:t>
      </w:r>
    </w:p>
    <w:p w14:paraId="1F8D90F9">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④因拖欠农民工工资被</w:t>
      </w:r>
      <w:bookmarkStart w:id="127" w:name="OLE_LINK108"/>
      <w:bookmarkEnd w:id="127"/>
      <w:bookmarkStart w:id="128" w:name="OLE_LINK107"/>
      <w:r>
        <w:rPr>
          <w:rFonts w:hint="eastAsia" w:ascii="宋体" w:hAnsi="宋体" w:eastAsia="宋体" w:cs="宋体"/>
          <w:color w:val="auto"/>
          <w:kern w:val="2"/>
          <w:sz w:val="24"/>
          <w:szCs w:val="24"/>
          <w:highlight w:val="none"/>
          <w:lang w:val="en-US" w:eastAsia="zh-CN" w:bidi="ar"/>
        </w:rPr>
        <w:t>县级及以上有关行政主管部门限制投标资格且在限制期限内的</w:t>
      </w:r>
      <w:bookmarkEnd w:id="128"/>
      <w:r>
        <w:rPr>
          <w:rFonts w:hint="eastAsia" w:ascii="宋体" w:hAnsi="宋体" w:eastAsia="宋体" w:cs="宋体"/>
          <w:color w:val="auto"/>
          <w:kern w:val="2"/>
          <w:sz w:val="24"/>
          <w:szCs w:val="24"/>
          <w:highlight w:val="none"/>
          <w:lang w:val="en-US" w:eastAsia="zh-CN" w:bidi="ar"/>
        </w:rPr>
        <w:t>；</w:t>
      </w:r>
    </w:p>
    <w:p w14:paraId="6FBF75C3">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63F98923">
      <w:pPr>
        <w:keepNext w:val="0"/>
        <w:keepLines w:val="0"/>
        <w:widowControl w:val="0"/>
        <w:suppressLineNumbers w:val="0"/>
        <w:autoSpaceDE w:val="0"/>
        <w:autoSpaceDN/>
        <w:adjustRightInd w:val="0"/>
        <w:snapToGrid w:val="0"/>
        <w:spacing w:before="0" w:beforeAutospacing="0" w:after="0" w:afterAutospacing="0" w:line="50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（二）政府采购项目</w:t>
      </w:r>
    </w:p>
    <w:p w14:paraId="3EFF7530">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1、“信用中国”网站（</w:t>
      </w:r>
      <w:r>
        <w:rPr>
          <w:rFonts w:hint="eastAsia" w:ascii="宋体" w:hAnsi="宋体" w:eastAsia="宋体" w:cs="宋体"/>
          <w:color w:val="auto"/>
          <w:kern w:val="2"/>
          <w:sz w:val="24"/>
          <w:szCs w:val="24"/>
          <w:highlight w:val="none"/>
          <w:u w:val="single"/>
          <w:lang w:val="en-US" w:eastAsia="zh-CN" w:bidi="ar"/>
        </w:rPr>
        <w:t>www.creditchina.gov.cn</w:t>
      </w:r>
      <w:r>
        <w:rPr>
          <w:rFonts w:hint="eastAsia" w:ascii="宋体" w:hAnsi="宋体" w:eastAsia="宋体" w:cs="宋体"/>
          <w:color w:val="auto"/>
          <w:kern w:val="2"/>
          <w:sz w:val="24"/>
          <w:szCs w:val="24"/>
          <w:highlight w:val="none"/>
          <w:lang w:val="en-US" w:eastAsia="zh-CN" w:bidi="ar"/>
        </w:rPr>
        <w:t>）查询供应商、法定代表人及其项目负责人以下失信行为：</w:t>
      </w:r>
    </w:p>
    <w:p w14:paraId="3DA405C4">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①被列入“失信被执行人”的;</w:t>
      </w:r>
    </w:p>
    <w:p w14:paraId="365F7A17">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②被列入“重大税收违法失信主体”的；</w:t>
      </w:r>
    </w:p>
    <w:p w14:paraId="417A55F6">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③被列入 “严重失信主体名单”的；</w:t>
      </w:r>
    </w:p>
    <w:p w14:paraId="5EB3CD2A">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④在“信用中国”网站上披露的仍在公示期的严重失信行为(具体行为类别及判定依据见附件2)的。</w:t>
      </w:r>
    </w:p>
    <w:p w14:paraId="5CBAA346">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2、国家企业信用信息公示系统网站（</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"http://www.gsxt.gov.cn）查询"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www.gsxt.gov.cn）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查询供应商以下失信行为：</w:t>
      </w:r>
    </w:p>
    <w:p w14:paraId="219BF7ED">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w:t>
      </w:r>
      <w:bookmarkStart w:id="129" w:name="OLE_LINK102"/>
      <w:bookmarkEnd w:id="129"/>
      <w:bookmarkStart w:id="130" w:name="OLE_LINK100"/>
      <w:bookmarkEnd w:id="130"/>
      <w:bookmarkStart w:id="131" w:name="OLE_LINK101"/>
      <w:r>
        <w:rPr>
          <w:rFonts w:hint="eastAsia" w:ascii="宋体" w:hAnsi="宋体" w:eastAsia="宋体" w:cs="宋体"/>
          <w:color w:val="auto"/>
          <w:kern w:val="2"/>
          <w:sz w:val="24"/>
          <w:szCs w:val="24"/>
          <w:highlight w:val="none"/>
          <w:lang w:val="en-US" w:eastAsia="zh-CN" w:bidi="ar"/>
        </w:rPr>
        <w:t>被列入“经营异常名录”或者“严重违法失信名单”的</w:t>
      </w:r>
      <w:bookmarkEnd w:id="131"/>
      <w:r>
        <w:rPr>
          <w:rFonts w:hint="eastAsia" w:ascii="宋体" w:hAnsi="宋体" w:eastAsia="宋体" w:cs="宋体"/>
          <w:color w:val="auto"/>
          <w:kern w:val="2"/>
          <w:sz w:val="24"/>
          <w:szCs w:val="24"/>
          <w:highlight w:val="none"/>
          <w:lang w:val="en-US" w:eastAsia="zh-CN" w:bidi="ar"/>
        </w:rPr>
        <w:t>。</w:t>
      </w:r>
    </w:p>
    <w:p w14:paraId="028B40C2">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3、中国政府采购网站（</w:t>
      </w:r>
      <w:bookmarkStart w:id="132" w:name="OLE_LINK95"/>
      <w:bookmarkEnd w:id="132"/>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"http://www.ccgp.gov.cn"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www.ccgp.gov.cn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）查询以下失信行为：</w:t>
      </w:r>
    </w:p>
    <w:p w14:paraId="2524D502">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w:t>
      </w:r>
      <w:bookmarkStart w:id="133" w:name="OLE_LINK106"/>
      <w:bookmarkEnd w:id="133"/>
      <w:bookmarkStart w:id="134" w:name="OLE_LINK105"/>
      <w:bookmarkEnd w:id="134"/>
      <w:bookmarkStart w:id="135" w:name="OLE_LINK104"/>
      <w:r>
        <w:rPr>
          <w:rFonts w:hint="eastAsia" w:ascii="宋体" w:hAnsi="宋体" w:eastAsia="宋体" w:cs="宋体"/>
          <w:color w:val="auto"/>
          <w:kern w:val="2"/>
          <w:sz w:val="24"/>
          <w:szCs w:val="24"/>
          <w:highlight w:val="none"/>
          <w:lang w:val="en-US" w:eastAsia="zh-CN" w:bidi="ar"/>
        </w:rPr>
        <w:t>被列入“政府采购严重违法失信行为信息记录”的</w:t>
      </w:r>
      <w:bookmarkEnd w:id="135"/>
      <w:r>
        <w:rPr>
          <w:rFonts w:hint="eastAsia" w:ascii="宋体" w:hAnsi="宋体" w:eastAsia="宋体" w:cs="宋体"/>
          <w:color w:val="auto"/>
          <w:kern w:val="2"/>
          <w:sz w:val="24"/>
          <w:szCs w:val="24"/>
          <w:highlight w:val="none"/>
          <w:lang w:val="en-US" w:eastAsia="zh-CN" w:bidi="ar"/>
        </w:rPr>
        <w:t>。</w:t>
      </w:r>
    </w:p>
    <w:p w14:paraId="5727FEC1">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4、由竞争主体进行承诺，不进行现场网上信用查询的失信行为：</w:t>
      </w:r>
    </w:p>
    <w:p w14:paraId="4A2BE0F1">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①前三年有行贿犯罪行为的单位和个人。</w:t>
      </w:r>
    </w:p>
    <w:p w14:paraId="65BFB25F">
      <w:pPr>
        <w:keepNext w:val="0"/>
        <w:keepLines w:val="0"/>
        <w:widowControl w:val="0"/>
        <w:suppressLineNumbers w:val="0"/>
        <w:autoSpaceDE w:val="0"/>
        <w:autoSpaceDN/>
        <w:adjustRightInd w:val="0"/>
        <w:snapToGrid w:val="0"/>
        <w:spacing w:before="0" w:beforeAutospacing="0" w:after="0" w:afterAutospacing="0" w:line="50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二、在开评标活动中的查询程序</w:t>
      </w:r>
    </w:p>
    <w:p w14:paraId="16C7FB37">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220752C9">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2EE279D3">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3、项目单位及其委托的代理机构应当做好信用查询结果截图和记录留存。</w:t>
      </w:r>
    </w:p>
    <w:p w14:paraId="6998DADA">
      <w:pPr>
        <w:keepNext w:val="0"/>
        <w:keepLines w:val="0"/>
        <w:widowControl w:val="0"/>
        <w:suppressLineNumbers w:val="0"/>
        <w:autoSpaceDE w:val="0"/>
        <w:autoSpaceDN/>
        <w:adjustRightInd w:val="0"/>
        <w:snapToGrid w:val="0"/>
        <w:spacing w:before="0" w:beforeAutospacing="0" w:after="0" w:afterAutospacing="0" w:line="50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三、相关要求</w:t>
      </w:r>
    </w:p>
    <w:p w14:paraId="173E4064">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1、参与公共资源交易活动的竞争主体根据上述范围查询的内容进行自查并承诺，出具《诚信投标承诺书》（诚信投标承诺书包括但不限于上述自查并承诺内容）并注明承诺日期（投标截止时间前5日内）。</w:t>
      </w:r>
    </w:p>
    <w:p w14:paraId="34FE6489">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013E6222">
      <w:pPr>
        <w:keepNext w:val="0"/>
        <w:keepLines w:val="0"/>
        <w:widowControl w:val="0"/>
        <w:suppressLineNumbers w:val="0"/>
        <w:wordWrap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"https://credit.ah.gov.cn/xinyong-fuwu/xvbahv/index.html"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https://credit.ah.gov.cn/xinyong-fuwu/xvbahv/index.html</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3A698056">
      <w:pPr>
        <w:keepNext w:val="0"/>
        <w:keepLines w:val="0"/>
        <w:widowControl w:val="0"/>
        <w:suppressLineNumbers w:val="0"/>
        <w:autoSpaceDE w:val="0"/>
        <w:autoSpaceDN/>
        <w:adjustRightInd w:val="0"/>
        <w:snapToGrid w:val="0"/>
        <w:spacing w:before="0" w:beforeAutospacing="0" w:after="0" w:afterAutospacing="0" w:line="50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2、“信用中国”查询的严重失信行为判定依据为各行业主管部门下发的联合惩戒文件中规定的行为（按附件2执行）。</w:t>
      </w:r>
    </w:p>
    <w:p w14:paraId="0DC1B673">
      <w:pPr>
        <w:keepNext w:val="0"/>
        <w:keepLines w:val="0"/>
        <w:widowControl w:val="0"/>
        <w:suppressLineNumbers w:val="0"/>
        <w:autoSpaceDE w:val="0"/>
        <w:autoSpaceDN/>
        <w:adjustRightInd w:val="0"/>
        <w:snapToGrid w:val="0"/>
        <w:spacing w:before="0" w:beforeAutospacing="0" w:after="0" w:afterAutospacing="0" w:line="50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3、资格预审的项目以递交资格预审申请文件截止时间查询为准；资格后审的项目以递交投标文件截止时间查询为准。</w:t>
      </w:r>
    </w:p>
    <w:p w14:paraId="20D42757">
      <w:pPr>
        <w:keepNext w:val="0"/>
        <w:keepLines w:val="0"/>
        <w:widowControl w:val="0"/>
        <w:suppressLineNumbers w:val="0"/>
        <w:spacing w:before="0" w:beforeAutospacing="0" w:after="0" w:afterAutospacing="0"/>
        <w:ind w:left="0" w:right="960"/>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14:paraId="3841EC00">
      <w:pPr>
        <w:keepNext w:val="0"/>
        <w:keepLines w:val="0"/>
        <w:widowControl w:val="0"/>
        <w:suppressLineNumbers w:val="0"/>
        <w:spacing w:before="0" w:beforeAutospacing="0" w:after="0" w:afterAutospacing="0"/>
        <w:ind w:left="0" w:right="960"/>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14:paraId="4605267D">
      <w:pPr>
        <w:keepNext w:val="0"/>
        <w:keepLines w:val="0"/>
        <w:widowControl w:val="0"/>
        <w:suppressLineNumbers w:val="0"/>
        <w:spacing w:before="0" w:beforeAutospacing="0" w:after="0" w:afterAutospacing="0"/>
        <w:ind w:left="0" w:right="960"/>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14:paraId="474C503F">
      <w:pPr>
        <w:keepNext w:val="0"/>
        <w:keepLines w:val="0"/>
        <w:widowControl w:val="0"/>
        <w:suppressLineNumbers w:val="0"/>
        <w:spacing w:before="0" w:beforeAutospacing="0" w:after="0" w:afterAutospacing="0"/>
        <w:ind w:left="0" w:right="960"/>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14:paraId="2EE11EA3">
      <w:pPr>
        <w:keepNext/>
        <w:keepLines/>
        <w:widowControl w:val="0"/>
        <w:suppressLineNumbers w:val="0"/>
        <w:spacing w:before="200" w:beforeAutospacing="0" w:after="200" w:afterAutospacing="0" w:line="600" w:lineRule="exact"/>
        <w:ind w:left="0" w:right="0"/>
        <w:jc w:val="both"/>
        <w:outlineLvl w:val="0"/>
        <w:rPr>
          <w:rFonts w:hint="eastAsia" w:ascii="宋体" w:hAnsi="宋体" w:eastAsia="宋体" w:cs="宋体"/>
          <w:b/>
          <w:bCs/>
          <w:color w:val="auto"/>
          <w:kern w:val="44"/>
          <w:sz w:val="32"/>
          <w:szCs w:val="32"/>
          <w:highlight w:val="none"/>
        </w:rPr>
      </w:pPr>
      <w:bookmarkStart w:id="136" w:name="_Toc4556"/>
      <w:bookmarkEnd w:id="136"/>
      <w:bookmarkStart w:id="137" w:name="_Toc8100"/>
      <w:bookmarkStart w:id="138" w:name="_Toc9040"/>
      <w:r>
        <w:rPr>
          <w:rFonts w:hint="eastAsia" w:ascii="宋体" w:hAnsi="宋体" w:eastAsia="宋体" w:cs="宋体"/>
          <w:b/>
          <w:bCs/>
          <w:color w:val="auto"/>
          <w:kern w:val="44"/>
          <w:sz w:val="32"/>
          <w:szCs w:val="32"/>
          <w:highlight w:val="none"/>
          <w:lang w:val="en-US" w:eastAsia="zh-CN" w:bidi="ar"/>
        </w:rPr>
        <w:t>附件2 “信用中国”查询的严重失信行为类别及判定依据</w:t>
      </w:r>
      <w:bookmarkEnd w:id="137"/>
      <w:bookmarkEnd w:id="138"/>
    </w:p>
    <w:p w14:paraId="72C9DE01">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“信用中国”查询的严重失信行为判定依据为各行业主管部门下发的联合惩戒文件中规定的行为。下面将部分类别的严重失信行为列举如下：</w:t>
      </w:r>
    </w:p>
    <w:p w14:paraId="19180285">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一、安全生产领域严重失信行为：</w:t>
      </w:r>
    </w:p>
    <w:p w14:paraId="7D99AC3B">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（一）下列发生生产安全事故的生产经营单位及其有关人员应当列入严重失信主体名单：</w:t>
      </w:r>
    </w:p>
    <w:p w14:paraId="37D42ED7">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1、发生特别重大、重大生产安全事故的生产经营单位及其主要负责人，以及经调查认定对该事故发生负有责任，应当列入名单的其他单位和人员；</w:t>
      </w:r>
    </w:p>
    <w:p w14:paraId="5EE75F8D">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2、12个月内累计发生2起以上较大生产安全事故的生产经营单位及其主要负责人；</w:t>
      </w:r>
    </w:p>
    <w:p w14:paraId="7DF3A6CB">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3、发生生产安全事故，情节特别严重、影响特别恶劣，依照《中华人民共和国安全生产法》第一百一十四条的规定被处以罚款数额2倍以上5倍以下罚款的生产经营单位及其主要负责人；</w:t>
      </w:r>
    </w:p>
    <w:p w14:paraId="7142D1FA">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4、瞒报、谎报生产安全事故的生产经营单位及其有关责任人员；</w:t>
      </w:r>
    </w:p>
    <w:p w14:paraId="79D692CF">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5、发生生产安全事故后，不立即组织抢救或者在事故调查处理期间擅离职守或者逃匿的生产经营单位主要负责人。</w:t>
      </w:r>
    </w:p>
    <w:p w14:paraId="3F1E07FB">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（二）下列未发生生产安全事故，但因安全生产违法行为，受到行政处罚的生产经营单位或者机构及其有关人员，应当列入严重失信主体名单：</w:t>
      </w:r>
    </w:p>
    <w:p w14:paraId="3B561E70">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1、未依法取得安全生产相关许可或者许可被暂扣、吊销期间从事相关生产经营活动的生产经营单位及其主要负责人；</w:t>
      </w:r>
    </w:p>
    <w:p w14:paraId="1B95FB1A">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2、承担安全评价、认证、检测、检验职责的机构及其直接责任人员租借资质、挂靠、出具虚假报告或者证书的；</w:t>
      </w:r>
    </w:p>
    <w:p w14:paraId="060A0252">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3、在应急管理部门作出行政处罚后，有执行能力拒不执行或者逃避执行的生产经营单位及其主要负责人；</w:t>
      </w:r>
    </w:p>
    <w:p w14:paraId="35016650">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4、其他违反安全生产法律法规受到行政处罚，且性质恶劣、情节严重的。</w:t>
      </w:r>
    </w:p>
    <w:p w14:paraId="71410199">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依据：《安全生产严重失信主体名单管理办法》（2023年8月8日应急管理部令第11号）</w:t>
      </w:r>
    </w:p>
    <w:p w14:paraId="10DE5D98">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二、环境保护领域严重失信行为：</w:t>
      </w:r>
    </w:p>
    <w:p w14:paraId="07BC7BB2">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（一）因为环境违法构成</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"https://baike.sogou.com/m/fullLemma?lid=10403954&amp;g_ut=3"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环境犯罪</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的；</w:t>
      </w:r>
    </w:p>
    <w:p w14:paraId="0A3B18E9">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"https://baike.sogou.com/m/fullLemma?lid=76033123&amp;g_ut=3"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建设项目环境影响评价</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文件未按规定通过审批，擅自开工建设的；</w:t>
      </w:r>
    </w:p>
    <w:p w14:paraId="6B518A20">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（三）建设项目环保设施未建成、环保措施未落实、未通过</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"https://baike.sogou.com/m/fullLemma?lid=6470550&amp;g_ut=3"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竣工环保验收</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或者验收不合格，主体工程正式投入生产或者使用的；</w:t>
      </w:r>
    </w:p>
    <w:p w14:paraId="67DBC8C1">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（四）建设项目性质、规模、地点、采用的生产工艺或者防治污染、防止生态破坏的措施发生重大变动，未重新报批环境影响评价文件，擅自投入生产或者使用的；</w:t>
      </w:r>
    </w:p>
    <w:p w14:paraId="1E24209C">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（五）主要污染物排放总量超过控制指标的；</w:t>
      </w:r>
    </w:p>
    <w:p w14:paraId="206CB881">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（六）私设暗管或者利用</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"https://baike.sogou.com/m/fullLemma?lid=41657319&amp;g_ut=3"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渗井</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、渗坑、裂隙、溶洞等排放、倾倒、处置水污染物，或者通过私设旁路排放</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"https://baike.sogou.com/m/fullLemma?lid=7758328&amp;g_ut=3"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大气污染物</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的；</w:t>
      </w:r>
    </w:p>
    <w:p w14:paraId="2FE40A76">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（七）非法排放、倾倒、处置危险废物，或者向无</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"https://baike.sogou.com/m/fullLemma?lid=5923292&amp;g_ut=3"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经营许可证</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或者超出经营许可范围的单位或个人提供或者委托其收集、贮存、利用、处置危险废物的；</w:t>
      </w:r>
    </w:p>
    <w:p w14:paraId="631DD681">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（八）</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"https://baike.sogou.com/m/fullLemma?lid=167759803&amp;g_ut=3"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环境违法行为</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造成集中式生活饮用水水源取水中断的；</w:t>
      </w:r>
    </w:p>
    <w:p w14:paraId="4F1BA26F">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（九）环境违法行为对生活饮用水水源保护区、自然保护区、</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"https://baike.sogou.com/m/fullLemma?lid=155199213&amp;g_ut=3"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国家重点生态功能区</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、风景名胜区、居住功能区、</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"https://baike.sogou.com/m/fullLemma?lid=7757164&amp;g_ut=3" </w:instrText>
      </w:r>
      <w:r>
        <w:rPr>
          <w:rFonts w:hint="eastAsia" w:ascii="宋体" w:hAnsi="宋体" w:eastAsia="宋体" w:cs="宋体"/>
          <w:color w:val="auto"/>
          <w:kern w:val="2"/>
          <w:sz w:val="21"/>
          <w:szCs w:val="21"/>
          <w:highlight w:val="none"/>
          <w:lang w:val="en-US" w:eastAsia="zh-CN" w:bidi="ar"/>
        </w:rPr>
        <w:fldChar w:fldCharType="separate"/>
      </w:r>
      <w:r>
        <w:rPr>
          <w:rStyle w:val="35"/>
          <w:rFonts w:hint="eastAsia" w:ascii="宋体" w:hAnsi="宋体" w:eastAsia="宋体" w:cs="宋体"/>
          <w:color w:val="auto"/>
          <w:kern w:val="2"/>
          <w:sz w:val="24"/>
          <w:szCs w:val="24"/>
          <w:highlight w:val="none"/>
        </w:rPr>
        <w:t>基本农田保护区</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等环境敏感区造成重大不利影响的；</w:t>
      </w:r>
    </w:p>
    <w:p w14:paraId="6F4A2568">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（十）违法从事自然资源开发、交通基础设施建设，以及其他开发建设活动，造成严重生态破坏的；</w:t>
      </w:r>
    </w:p>
    <w:p w14:paraId="743425BD">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（十一）发生较大及以上突发环境事件的；</w:t>
      </w:r>
    </w:p>
    <w:p w14:paraId="070DC54A">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（十二）被环保部门挂牌督办，整改逾期未完成的；</w:t>
      </w:r>
    </w:p>
    <w:p w14:paraId="2CE6B09D">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（十三）以暴力、威胁等方式拒绝、阻挠环保部门工作人员现场检查的；</w:t>
      </w:r>
    </w:p>
    <w:p w14:paraId="5E0E63BA">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（十四）违反重污染天气应急预案有关规定，对重污染天气响应不力的。</w:t>
      </w:r>
    </w:p>
    <w:p w14:paraId="2E80A1E2">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依据：《关于对环境保护领域失信生产经营单位及其有关人员开展联合惩戒的合作备忘录》、《企业环境信用评价办法（试行）》（环发〔2013〕150号）</w:t>
      </w:r>
    </w:p>
    <w:p w14:paraId="2BCE5BF8">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三、</w:t>
      </w:r>
      <w:r>
        <w:rPr>
          <w:rFonts w:hint="eastAsia" w:ascii="宋体" w:hAnsi="宋体" w:eastAsia="宋体" w:cs="宋体"/>
          <w:b/>
          <w:bCs/>
          <w:color w:val="auto"/>
          <w:kern w:val="2"/>
          <w:sz w:val="24"/>
          <w:szCs w:val="24"/>
          <w:highlight w:val="none"/>
          <w:lang w:val="en-US" w:eastAsia="zh-CN" w:bidi="ar"/>
        </w:rPr>
        <w:t>公共资源交易领域严重失信行为</w:t>
      </w:r>
    </w:p>
    <w:p w14:paraId="2735B6AB">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（一）违反法律规定，必须进行招标的项目而不招标的，将必须进行招标的项目化整为零或者以其他任何方式规避招标的； </w:t>
      </w:r>
    </w:p>
    <w:p w14:paraId="53EBF196">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（二）招标代理机构违反法律规定，泄露应当保密的与招标投标活动有关的情况和资料的，或者与招标人、投标人串通损害 国家利益、社会公共利益或者他人合法权益的；</w:t>
      </w:r>
    </w:p>
    <w:p w14:paraId="139E433A">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（三）招标人以不合理的条件限制或者排斥潜在投标人的，对潜在投标人实行歧视待遇的，强制要求投标人组成联合体共同 投标的，或者限制投标人之间竞争的；</w:t>
      </w:r>
    </w:p>
    <w:p w14:paraId="2E8CC579">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（四）依法必须进行招标的项目的招标人向他人透露已获取招标文件的潜在投标人的名称、数量或者可能影响公平竞争的有 关招标投标的其他情况的，或者泄露标底的；</w:t>
      </w:r>
    </w:p>
    <w:p w14:paraId="671F070D">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（五）投标人相互串通投标或者与招标人串通投标的，投标人以向招标人或者评标委员会成员行贿的手段谋取中标的； </w:t>
      </w:r>
    </w:p>
    <w:p w14:paraId="79E3114B">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（六）投标人以他人名义投标或者以其他方式弄虚作假，骗取中标的；</w:t>
      </w:r>
    </w:p>
    <w:p w14:paraId="7EF82C5D">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（七）依法必须进行招标的项目，招标人违反法律规定，与投标人就投标价格、投标方案等实质性内容进行谈判的；</w:t>
      </w:r>
    </w:p>
    <w:p w14:paraId="00DBB290">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0F7341DF">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（九）招标人在评标委员会依法推荐的中标候选人以外确定中标人的，依法必须进行招标的项目在所有投标被评标委员会否 决后自行确定中标人的； </w:t>
      </w:r>
    </w:p>
    <w:p w14:paraId="1AC54635">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（十）中标人将中标项目转让给他人的，将中标项目肢解后分别转让给他人的，违反法律规定将中标项目的部分主体、关键 性工作分包给他人的，或者分包人再次分包的； </w:t>
      </w:r>
    </w:p>
    <w:p w14:paraId="03E83047">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（十一）招标人与中标人不按照招标文件和中标人的投标文件订立合同的，或者招标人、中标人订立背离合同实质性内容的 协议的； </w:t>
      </w:r>
    </w:p>
    <w:p w14:paraId="7ABE43B6">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（十二）中标人不按照与招标人订立的合同履行义务，情节严重的； </w:t>
      </w:r>
    </w:p>
    <w:p w14:paraId="2192DA73">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0C02004F">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59C02AA9">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（十五）采购人对应当实行集中采购的政府采购项目，不委托集中采购机构实行集中采购的； </w:t>
      </w:r>
    </w:p>
    <w:p w14:paraId="499358A8">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（十六）采购人、采购代理机构违反法律规定隐匿、销毁应当保存的采购文件或者伪造、变造采购文件的； </w:t>
      </w:r>
    </w:p>
    <w:p w14:paraId="1730B58E">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7D64C5C6">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（十八）疫苗生产企业向县级疾病预防控制机构以外的单位或者个人销售第二类疫苗的； </w:t>
      </w:r>
    </w:p>
    <w:p w14:paraId="771B2A32">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（十九）存在其他违反公共资源交易法律法规行为的。</w:t>
      </w:r>
    </w:p>
    <w:p w14:paraId="4F43775B">
      <w:pPr>
        <w:keepNext w:val="0"/>
        <w:keepLines w:val="0"/>
        <w:widowControl w:val="0"/>
        <w:suppressLineNumbers w:val="0"/>
        <w:autoSpaceDE w:val="0"/>
        <w:autoSpaceDN/>
        <w:adjustRightInd w:val="0"/>
        <w:snapToGrid w:val="0"/>
        <w:spacing w:before="0" w:beforeAutospacing="0" w:after="0" w:afterAutospacing="0" w:line="480" w:lineRule="exact"/>
        <w:ind w:left="0" w:right="0" w:firstLine="766" w:firstLineChars="318"/>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依据：《关于对公共资源交易领域严重失信主体开展联合惩戒的备忘录》（发改法规〔2018〕457号）</w:t>
      </w:r>
    </w:p>
    <w:p w14:paraId="6F9E4C72">
      <w:pPr>
        <w:keepNext w:val="0"/>
        <w:keepLines w:val="0"/>
        <w:widowControl w:val="0"/>
        <w:suppressLineNumbers w:val="0"/>
        <w:autoSpaceDE w:val="0"/>
        <w:autoSpaceDN/>
        <w:adjustRightInd w:val="0"/>
        <w:snapToGrid w:val="0"/>
        <w:spacing w:before="0" w:beforeAutospacing="0" w:after="0" w:afterAutospacing="0" w:line="480" w:lineRule="exact"/>
        <w:ind w:left="0" w:right="0" w:firstLine="645"/>
        <w:jc w:val="left"/>
        <w:rPr>
          <w:rFonts w:hint="eastAsia" w:ascii="宋体" w:hAnsi="宋体" w:eastAsia="宋体" w:cs="宋体"/>
          <w:b/>
          <w:bCs/>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四、</w:t>
      </w:r>
      <w:r>
        <w:rPr>
          <w:rFonts w:hint="eastAsia" w:ascii="宋体" w:hAnsi="宋体" w:eastAsia="宋体" w:cs="宋体"/>
          <w:b/>
          <w:bCs/>
          <w:color w:val="auto"/>
          <w:kern w:val="2"/>
          <w:sz w:val="24"/>
          <w:szCs w:val="24"/>
          <w:highlight w:val="none"/>
          <w:lang w:val="en-US" w:eastAsia="zh-CN" w:bidi="ar"/>
        </w:rPr>
        <w:t>社会保险领域严重失信行为</w:t>
      </w:r>
    </w:p>
    <w:p w14:paraId="0426129A">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（一）用人单位未按相关规定参加社会保险且拒不整改的； </w:t>
      </w:r>
    </w:p>
    <w:p w14:paraId="485B9DEE">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（二）用人单位未如实申报社会保险缴费基数且拒不整改的； </w:t>
      </w:r>
    </w:p>
    <w:p w14:paraId="6AB1AB1D">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（三）应缴纳社会保险费却拒不缴纳的； </w:t>
      </w:r>
    </w:p>
    <w:p w14:paraId="797AC69C">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（四）隐匿、转移、侵占、挪用社会保险费款、基金或者违规投资运营的；</w:t>
      </w:r>
    </w:p>
    <w:p w14:paraId="031D7316">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（五）以欺诈、伪造证明材料或者其他手段参加、申报社会保险和骗取社会保险基金支出或社会保险待遇的； </w:t>
      </w:r>
    </w:p>
    <w:p w14:paraId="58498F1F">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（六）非法获取、出售或变相交易社会保险个人权益数据的； </w:t>
      </w:r>
    </w:p>
    <w:p w14:paraId="4202941B">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（七）社会保险服务机构违反服务协议或相关规定的； </w:t>
      </w:r>
    </w:p>
    <w:p w14:paraId="6323168E">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（八）拒绝协助社会保险行政部门、经办机构对事故和问题进 行调查核实的；拒绝接受或协助税务部门对社会保险实施监督检查， 不如实提供与社会保险相关各项资料的； </w:t>
      </w:r>
    </w:p>
    <w:p w14:paraId="1F04AB85">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0"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（九）其他违反法律法规规定的。</w:t>
      </w:r>
    </w:p>
    <w:p w14:paraId="2C8D87B6">
      <w:pPr>
        <w:keepNext w:val="0"/>
        <w:keepLines w:val="0"/>
        <w:widowControl w:val="0"/>
        <w:suppressLineNumbers w:val="0"/>
        <w:autoSpaceDE w:val="0"/>
        <w:autoSpaceDN/>
        <w:adjustRightInd w:val="0"/>
        <w:snapToGrid w:val="0"/>
        <w:spacing w:before="0" w:beforeAutospacing="0" w:after="0" w:afterAutospacing="0" w:line="480" w:lineRule="exact"/>
        <w:ind w:left="0" w:right="0" w:firstLine="472" w:firstLineChars="196"/>
        <w:jc w:val="left"/>
        <w:rPr>
          <w:rFonts w:hint="eastAsia" w:ascii="宋体" w:hAnsi="宋体" w:eastAsia="宋体" w:cs="宋体"/>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依据：《关于对社会保险领域严重失信企业及其有关人员实施联合惩戒的合作备忘录》（发改财金〔2018〕1704号）</w:t>
      </w:r>
    </w:p>
    <w:p w14:paraId="53BD25A8">
      <w:pPr>
        <w:keepNext w:val="0"/>
        <w:keepLines w:val="0"/>
        <w:widowControl w:val="0"/>
        <w:suppressLineNumbers w:val="0"/>
        <w:autoSpaceDE w:val="0"/>
        <w:autoSpaceDN/>
        <w:adjustRightInd w:val="0"/>
        <w:snapToGrid w:val="0"/>
        <w:spacing w:before="0" w:beforeAutospacing="0" w:after="0" w:afterAutospacing="0" w:line="480" w:lineRule="exact"/>
        <w:ind w:left="0" w:right="0"/>
        <w:jc w:val="left"/>
        <w:rPr>
          <w:rFonts w:hint="eastAsia" w:ascii="宋体" w:hAnsi="宋体" w:eastAsia="宋体" w:cs="宋体"/>
          <w:b/>
          <w:bCs/>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w:t>
      </w:r>
      <w:r>
        <w:rPr>
          <w:rFonts w:hint="eastAsia" w:ascii="宋体" w:hAnsi="宋体" w:eastAsia="宋体" w:cs="宋体"/>
          <w:b/>
          <w:bCs w:val="0"/>
          <w:color w:val="auto"/>
          <w:kern w:val="2"/>
          <w:sz w:val="24"/>
          <w:szCs w:val="24"/>
          <w:highlight w:val="none"/>
          <w:lang w:val="en-US" w:eastAsia="zh-CN" w:bidi="ar"/>
        </w:rPr>
        <w:t>五、建筑市场领域</w:t>
      </w:r>
      <w:r>
        <w:rPr>
          <w:rFonts w:hint="eastAsia" w:ascii="宋体" w:hAnsi="宋体" w:eastAsia="宋体" w:cs="宋体"/>
          <w:b/>
          <w:bCs/>
          <w:color w:val="auto"/>
          <w:kern w:val="2"/>
          <w:sz w:val="24"/>
          <w:szCs w:val="24"/>
          <w:highlight w:val="none"/>
          <w:lang w:val="en-US" w:eastAsia="zh-CN" w:bidi="ar"/>
        </w:rPr>
        <w:t>严重失信行为</w:t>
      </w:r>
    </w:p>
    <w:p w14:paraId="12DEFC6C">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（一）利用虚假材料、以欺骗手段取得企业资质的；</w:t>
      </w:r>
    </w:p>
    <w:p w14:paraId="0B546FE0">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（二）发生转包、出借资质，受到行政处罚的；</w:t>
      </w:r>
    </w:p>
    <w:p w14:paraId="539A3ED9">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（三）发生重大及以上工程质量安全事故，或1年内累计发生2次及以上较大工程质量安全事故，或发生性质恶劣、危害性严重、社会影响大的较大工程质量安全事故，受到行政处罚的；</w:t>
      </w:r>
    </w:p>
    <w:p w14:paraId="65E19966">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（四）经法院判决或仲裁机构裁决，认定为拖欠工程款,且拒不履行生效法律文书确定的义务的。</w:t>
      </w:r>
    </w:p>
    <w:p w14:paraId="18FF18C6">
      <w:pPr>
        <w:keepNext w:val="0"/>
        <w:keepLines w:val="0"/>
        <w:widowControl w:val="0"/>
        <w:suppressLineNumbers w:val="0"/>
        <w:autoSpaceDE w:val="0"/>
        <w:autoSpaceDN/>
        <w:adjustRightInd w:val="0"/>
        <w:snapToGrid w:val="0"/>
        <w:spacing w:before="0" w:beforeAutospacing="0" w:after="0" w:afterAutospacing="0" w:line="48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各级住房城乡建设主管部门应当参照建筑市场主体“黑名单”，对被人力资源社会保障行政部门列入拖欠农民工工资“黑名单”的建筑市场各方主体加强监管。</w:t>
      </w:r>
    </w:p>
    <w:p w14:paraId="57EDBFCB">
      <w:pPr>
        <w:keepNext w:val="0"/>
        <w:keepLines w:val="0"/>
        <w:widowControl w:val="0"/>
        <w:suppressLineNumbers w:val="0"/>
        <w:autoSpaceDE w:val="0"/>
        <w:autoSpaceDN/>
        <w:spacing w:before="0" w:beforeAutospacing="0" w:after="0" w:afterAutospacing="0" w:line="480" w:lineRule="exact"/>
        <w:ind w:left="0" w:right="0" w:firstLine="482" w:firstLineChars="200"/>
        <w:jc w:val="left"/>
        <w:rPr>
          <w:rFonts w:hint="eastAsia" w:ascii="宋体" w:hAnsi="宋体" w:eastAsia="宋体" w:cs="宋体"/>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依据：《建筑市场信用管理暂行办法》（建市〔2017〕241号）</w:t>
      </w:r>
    </w:p>
    <w:p w14:paraId="7412C2BA">
      <w:pPr>
        <w:keepNext w:val="0"/>
        <w:keepLines w:val="0"/>
        <w:widowControl w:val="0"/>
        <w:suppressLineNumbers w:val="0"/>
        <w:autoSpaceDE w:val="0"/>
        <w:autoSpaceDN/>
        <w:adjustRightInd w:val="0"/>
        <w:snapToGrid w:val="0"/>
        <w:spacing w:before="0" w:beforeAutospacing="0" w:after="0" w:afterAutospacing="0" w:line="480" w:lineRule="exact"/>
        <w:ind w:left="0" w:right="0"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六、政府采购严重失信行为</w:t>
      </w:r>
    </w:p>
    <w:p w14:paraId="3673CA18">
      <w:pPr>
        <w:keepNext w:val="0"/>
        <w:keepLines w:val="0"/>
        <w:widowControl w:val="0"/>
        <w:suppressLineNumbers w:val="0"/>
        <w:autoSpaceDE w:val="0"/>
        <w:autoSpaceDN/>
        <w:adjustRightInd w:val="0"/>
        <w:snapToGrid w:val="0"/>
        <w:spacing w:before="0" w:beforeAutospacing="0" w:after="0" w:afterAutospacing="0" w:line="480" w:lineRule="exact"/>
        <w:ind w:left="0" w:right="0" w:firstLine="615"/>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供应商、采购代理机构在三年内受到财政部门作出下列情形之一的行政处罚，列入政府采购严重违法失信行为记录名单。</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（一）三万元以上罚款；</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（二）在一至三年内禁止参加政府采购活动（处罚期限届满的除外）；</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（三）在一至三年内禁止代理政府采购业务（处罚期限届满的除外）；</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（四）撤销政府采购代理机构资格（仅针对《政府采购法》第78条修改前作出的处罚决定）。</w:t>
      </w:r>
    </w:p>
    <w:p w14:paraId="07884ED8">
      <w:pPr>
        <w:keepNext w:val="0"/>
        <w:keepLines w:val="0"/>
        <w:widowControl w:val="0"/>
        <w:suppressLineNumbers w:val="0"/>
        <w:autoSpaceDE w:val="0"/>
        <w:autoSpaceDN/>
        <w:adjustRightInd w:val="0"/>
        <w:snapToGrid w:val="0"/>
        <w:spacing w:before="0" w:beforeAutospacing="0" w:after="0" w:afterAutospacing="0" w:line="480" w:lineRule="exact"/>
        <w:ind w:left="0" w:right="0" w:firstLine="482" w:firstLineChars="200"/>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依据：《关于报送政府采购严重违法失信行为信息记录的通知》（财办库〔2014〕526号）</w:t>
      </w:r>
    </w:p>
    <w:p w14:paraId="1285330B">
      <w:pPr>
        <w:keepNext w:val="0"/>
        <w:keepLines w:val="0"/>
        <w:widowControl w:val="0"/>
        <w:suppressLineNumbers w:val="0"/>
        <w:autoSpaceDE w:val="0"/>
        <w:autoSpaceDN/>
        <w:adjustRightInd w:val="0"/>
        <w:snapToGrid w:val="0"/>
        <w:spacing w:before="0" w:beforeAutospacing="0" w:after="0" w:afterAutospacing="0" w:line="480" w:lineRule="exact"/>
        <w:ind w:left="0" w:right="0" w:firstLine="615"/>
        <w:jc w:val="both"/>
        <w:rPr>
          <w:rFonts w:hint="eastAsia" w:ascii="宋体" w:hAnsi="宋体" w:eastAsia="宋体" w:cs="宋体"/>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未列出的其他类别严重失信行为，由招标人（代理机构）根据各类别行业主管部门下发的联合惩戒文件进行判断。</w:t>
      </w:r>
      <w:r>
        <w:rPr>
          <w:rFonts w:hint="eastAsia" w:ascii="宋体" w:hAnsi="宋体" w:eastAsia="宋体" w:cs="宋体"/>
          <w:color w:val="auto"/>
          <w:kern w:val="2"/>
          <w:sz w:val="24"/>
          <w:szCs w:val="24"/>
          <w:highlight w:val="none"/>
          <w:lang w:val="en-US" w:eastAsia="zh-CN" w:bidi="ar"/>
        </w:rPr>
        <w:t xml:space="preserve"> </w:t>
      </w:r>
    </w:p>
    <w:p w14:paraId="350803DC">
      <w:pPr>
        <w:spacing w:line="360" w:lineRule="auto"/>
        <w:rPr>
          <w:rFonts w:hint="eastAsia" w:ascii="宋体" w:hAnsi="宋体" w:eastAsia="宋体" w:cs="宋体"/>
          <w:color w:val="auto"/>
          <w:sz w:val="24"/>
          <w:szCs w:val="24"/>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73B34">
    <w:pPr>
      <w:pStyle w:val="16"/>
      <w:jc w:val="center"/>
      <w:rPr>
        <w:rFonts w:hint="eastAsia"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42335">
    <w:pPr>
      <w:pStyle w:val="16"/>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1D7CA">
                          <w:pPr>
                            <w:pStyle w:val="1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B1D7CA">
                    <w:pPr>
                      <w:pStyle w:val="1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35E65">
    <w:pPr>
      <w:pStyle w:val="18"/>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ZTY3N2FlNWMzMGQ4ODJjZjNiMzAzNjYzMGVjZmM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66EBC"/>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9A"/>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507E"/>
    <w:rsid w:val="004874AE"/>
    <w:rsid w:val="00487865"/>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86E85"/>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46E7"/>
    <w:rsid w:val="00796EDE"/>
    <w:rsid w:val="00797A02"/>
    <w:rsid w:val="007A27A9"/>
    <w:rsid w:val="007A5A58"/>
    <w:rsid w:val="007A6740"/>
    <w:rsid w:val="007B19A1"/>
    <w:rsid w:val="007B1C56"/>
    <w:rsid w:val="007B4996"/>
    <w:rsid w:val="007B6F5B"/>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311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773A2"/>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0909"/>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8FD"/>
    <w:rsid w:val="00D30F1B"/>
    <w:rsid w:val="00D30FC0"/>
    <w:rsid w:val="00D34F0D"/>
    <w:rsid w:val="00D3516E"/>
    <w:rsid w:val="00D4064C"/>
    <w:rsid w:val="00D451E5"/>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2C4"/>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36FD"/>
    <w:rsid w:val="00E94E10"/>
    <w:rsid w:val="00E9512E"/>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1036"/>
    <w:rsid w:val="00F634AD"/>
    <w:rsid w:val="00F63677"/>
    <w:rsid w:val="00F63ABE"/>
    <w:rsid w:val="00F75B81"/>
    <w:rsid w:val="00F804C4"/>
    <w:rsid w:val="00F82F83"/>
    <w:rsid w:val="00F832E5"/>
    <w:rsid w:val="00F839A6"/>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361D70"/>
    <w:rsid w:val="014434A8"/>
    <w:rsid w:val="015A4857"/>
    <w:rsid w:val="017B1BF9"/>
    <w:rsid w:val="01E0373D"/>
    <w:rsid w:val="01E93A1B"/>
    <w:rsid w:val="020356DA"/>
    <w:rsid w:val="0214602E"/>
    <w:rsid w:val="021F7DC1"/>
    <w:rsid w:val="02535CBD"/>
    <w:rsid w:val="025F774E"/>
    <w:rsid w:val="029A6E6A"/>
    <w:rsid w:val="02D435F7"/>
    <w:rsid w:val="02E5409C"/>
    <w:rsid w:val="03486B27"/>
    <w:rsid w:val="038D038B"/>
    <w:rsid w:val="03BB1D6C"/>
    <w:rsid w:val="040A094E"/>
    <w:rsid w:val="049D6812"/>
    <w:rsid w:val="04AA47F1"/>
    <w:rsid w:val="056F201D"/>
    <w:rsid w:val="05940AC6"/>
    <w:rsid w:val="05B664D4"/>
    <w:rsid w:val="05BC70D6"/>
    <w:rsid w:val="064B485A"/>
    <w:rsid w:val="065C0B2C"/>
    <w:rsid w:val="06823FBC"/>
    <w:rsid w:val="068C65C4"/>
    <w:rsid w:val="06903426"/>
    <w:rsid w:val="069331B4"/>
    <w:rsid w:val="06C63445"/>
    <w:rsid w:val="06EC5803"/>
    <w:rsid w:val="07076C01"/>
    <w:rsid w:val="071A223E"/>
    <w:rsid w:val="071C12AC"/>
    <w:rsid w:val="075C0367"/>
    <w:rsid w:val="077C7A64"/>
    <w:rsid w:val="07837AFC"/>
    <w:rsid w:val="07A934B3"/>
    <w:rsid w:val="07E87A8D"/>
    <w:rsid w:val="07EB6287"/>
    <w:rsid w:val="0806421B"/>
    <w:rsid w:val="08684CB5"/>
    <w:rsid w:val="09716062"/>
    <w:rsid w:val="09747A74"/>
    <w:rsid w:val="0980662B"/>
    <w:rsid w:val="0980799C"/>
    <w:rsid w:val="09823FA4"/>
    <w:rsid w:val="09944B8E"/>
    <w:rsid w:val="0A303690"/>
    <w:rsid w:val="0A32077B"/>
    <w:rsid w:val="0A6A18DB"/>
    <w:rsid w:val="0A73514E"/>
    <w:rsid w:val="0A7D1BE8"/>
    <w:rsid w:val="0A97099B"/>
    <w:rsid w:val="0A975B48"/>
    <w:rsid w:val="0AB539B9"/>
    <w:rsid w:val="0AEF3828"/>
    <w:rsid w:val="0AFA761E"/>
    <w:rsid w:val="0B406381"/>
    <w:rsid w:val="0B57171B"/>
    <w:rsid w:val="0B7D19AF"/>
    <w:rsid w:val="0B835347"/>
    <w:rsid w:val="0B8A60C6"/>
    <w:rsid w:val="0BAF7442"/>
    <w:rsid w:val="0BB452AA"/>
    <w:rsid w:val="0BBB665B"/>
    <w:rsid w:val="0C685EAE"/>
    <w:rsid w:val="0C991A10"/>
    <w:rsid w:val="0CBD6F29"/>
    <w:rsid w:val="0D0E73B0"/>
    <w:rsid w:val="0D5B011C"/>
    <w:rsid w:val="0D7C07BE"/>
    <w:rsid w:val="0D7D55A0"/>
    <w:rsid w:val="0D820829"/>
    <w:rsid w:val="0DDD6D83"/>
    <w:rsid w:val="0E572955"/>
    <w:rsid w:val="0E7F32A9"/>
    <w:rsid w:val="0E810642"/>
    <w:rsid w:val="0EAC50D3"/>
    <w:rsid w:val="0EEA6FC1"/>
    <w:rsid w:val="0F451097"/>
    <w:rsid w:val="0F790928"/>
    <w:rsid w:val="0FB30434"/>
    <w:rsid w:val="0FC1695C"/>
    <w:rsid w:val="0FE10DAC"/>
    <w:rsid w:val="102636A0"/>
    <w:rsid w:val="10374E70"/>
    <w:rsid w:val="107C607B"/>
    <w:rsid w:val="10AF2C58"/>
    <w:rsid w:val="10CD72BB"/>
    <w:rsid w:val="1125116C"/>
    <w:rsid w:val="115031A6"/>
    <w:rsid w:val="12197477"/>
    <w:rsid w:val="12314985"/>
    <w:rsid w:val="1264785B"/>
    <w:rsid w:val="12DE7825"/>
    <w:rsid w:val="130A686C"/>
    <w:rsid w:val="131B5CD3"/>
    <w:rsid w:val="133E02C4"/>
    <w:rsid w:val="13776448"/>
    <w:rsid w:val="137D4A9E"/>
    <w:rsid w:val="1382549E"/>
    <w:rsid w:val="13F82CE7"/>
    <w:rsid w:val="144F070C"/>
    <w:rsid w:val="1466407E"/>
    <w:rsid w:val="14720B92"/>
    <w:rsid w:val="14834E28"/>
    <w:rsid w:val="148E7D65"/>
    <w:rsid w:val="14BC3B96"/>
    <w:rsid w:val="14F7697C"/>
    <w:rsid w:val="14F77AF1"/>
    <w:rsid w:val="15051099"/>
    <w:rsid w:val="15231BF9"/>
    <w:rsid w:val="15515573"/>
    <w:rsid w:val="15C4546D"/>
    <w:rsid w:val="1680114A"/>
    <w:rsid w:val="16881F81"/>
    <w:rsid w:val="169052DA"/>
    <w:rsid w:val="16AF4771"/>
    <w:rsid w:val="16EA2C3C"/>
    <w:rsid w:val="17365652"/>
    <w:rsid w:val="179E6B6F"/>
    <w:rsid w:val="17BE19D3"/>
    <w:rsid w:val="17CF1E32"/>
    <w:rsid w:val="180937EB"/>
    <w:rsid w:val="180C032A"/>
    <w:rsid w:val="18205C82"/>
    <w:rsid w:val="18D832E3"/>
    <w:rsid w:val="18F163B1"/>
    <w:rsid w:val="193D1C1D"/>
    <w:rsid w:val="195A07CF"/>
    <w:rsid w:val="196A4832"/>
    <w:rsid w:val="19A945F2"/>
    <w:rsid w:val="19B45BCA"/>
    <w:rsid w:val="19F73BFF"/>
    <w:rsid w:val="1A064976"/>
    <w:rsid w:val="1A1839A8"/>
    <w:rsid w:val="1A225087"/>
    <w:rsid w:val="1A3B68AA"/>
    <w:rsid w:val="1A3E1C1E"/>
    <w:rsid w:val="1AA40CCC"/>
    <w:rsid w:val="1AB65178"/>
    <w:rsid w:val="1AD4308C"/>
    <w:rsid w:val="1B6F4F40"/>
    <w:rsid w:val="1B9879DC"/>
    <w:rsid w:val="1C141836"/>
    <w:rsid w:val="1C33473D"/>
    <w:rsid w:val="1C76537D"/>
    <w:rsid w:val="1CAB1734"/>
    <w:rsid w:val="1CB87339"/>
    <w:rsid w:val="1D104432"/>
    <w:rsid w:val="1D3F0DCA"/>
    <w:rsid w:val="1D7E40DE"/>
    <w:rsid w:val="1D9C6312"/>
    <w:rsid w:val="1DB005AC"/>
    <w:rsid w:val="1E4449D5"/>
    <w:rsid w:val="1E6B6A14"/>
    <w:rsid w:val="1E7601F6"/>
    <w:rsid w:val="1EBF050A"/>
    <w:rsid w:val="1F370744"/>
    <w:rsid w:val="1F4D401F"/>
    <w:rsid w:val="1F62533A"/>
    <w:rsid w:val="1F803847"/>
    <w:rsid w:val="1FD16A32"/>
    <w:rsid w:val="20284A23"/>
    <w:rsid w:val="20550D9A"/>
    <w:rsid w:val="209D21D0"/>
    <w:rsid w:val="209E05F3"/>
    <w:rsid w:val="211A2370"/>
    <w:rsid w:val="21845C9E"/>
    <w:rsid w:val="218E2416"/>
    <w:rsid w:val="21D40771"/>
    <w:rsid w:val="220B52C2"/>
    <w:rsid w:val="22404767"/>
    <w:rsid w:val="226915FE"/>
    <w:rsid w:val="22702106"/>
    <w:rsid w:val="22773033"/>
    <w:rsid w:val="228B6BA3"/>
    <w:rsid w:val="22A85809"/>
    <w:rsid w:val="231F3F50"/>
    <w:rsid w:val="23354129"/>
    <w:rsid w:val="234F4B80"/>
    <w:rsid w:val="2411199F"/>
    <w:rsid w:val="241804A5"/>
    <w:rsid w:val="245B2E54"/>
    <w:rsid w:val="24894D13"/>
    <w:rsid w:val="24B97929"/>
    <w:rsid w:val="24D632D7"/>
    <w:rsid w:val="25381017"/>
    <w:rsid w:val="26242F3D"/>
    <w:rsid w:val="2708363F"/>
    <w:rsid w:val="27710810"/>
    <w:rsid w:val="27840543"/>
    <w:rsid w:val="278F17C6"/>
    <w:rsid w:val="27CD5A5E"/>
    <w:rsid w:val="27D65DBA"/>
    <w:rsid w:val="27F033FB"/>
    <w:rsid w:val="28162815"/>
    <w:rsid w:val="284943D4"/>
    <w:rsid w:val="285F40CA"/>
    <w:rsid w:val="289E1AF0"/>
    <w:rsid w:val="28C01ECB"/>
    <w:rsid w:val="28C53A2A"/>
    <w:rsid w:val="28CF57EE"/>
    <w:rsid w:val="29337FB9"/>
    <w:rsid w:val="294C5091"/>
    <w:rsid w:val="29500C17"/>
    <w:rsid w:val="29954C89"/>
    <w:rsid w:val="299810D6"/>
    <w:rsid w:val="29B835C2"/>
    <w:rsid w:val="29BF71E3"/>
    <w:rsid w:val="29D6387F"/>
    <w:rsid w:val="29E8216F"/>
    <w:rsid w:val="2A127B63"/>
    <w:rsid w:val="2A451A6C"/>
    <w:rsid w:val="2A935F67"/>
    <w:rsid w:val="2A97233B"/>
    <w:rsid w:val="2A9E3E5D"/>
    <w:rsid w:val="2AA809EC"/>
    <w:rsid w:val="2AAA4765"/>
    <w:rsid w:val="2ABF7AE4"/>
    <w:rsid w:val="2AC21606"/>
    <w:rsid w:val="2AD37D79"/>
    <w:rsid w:val="2B365FF8"/>
    <w:rsid w:val="2B45623B"/>
    <w:rsid w:val="2B7E7608"/>
    <w:rsid w:val="2B7F04E9"/>
    <w:rsid w:val="2B8B554A"/>
    <w:rsid w:val="2BDA2E28"/>
    <w:rsid w:val="2C68382C"/>
    <w:rsid w:val="2C932FD6"/>
    <w:rsid w:val="2D496D68"/>
    <w:rsid w:val="2E4931A1"/>
    <w:rsid w:val="2E6102A1"/>
    <w:rsid w:val="2E78485E"/>
    <w:rsid w:val="2E7A48DE"/>
    <w:rsid w:val="2E9C43C4"/>
    <w:rsid w:val="2EBA5177"/>
    <w:rsid w:val="2EDC3ED8"/>
    <w:rsid w:val="2EE40E2C"/>
    <w:rsid w:val="2F104B00"/>
    <w:rsid w:val="2F123F15"/>
    <w:rsid w:val="2F2B399A"/>
    <w:rsid w:val="2F6351B4"/>
    <w:rsid w:val="2F837332"/>
    <w:rsid w:val="2F854414"/>
    <w:rsid w:val="2FAC5093"/>
    <w:rsid w:val="2FC86126"/>
    <w:rsid w:val="2FCF199E"/>
    <w:rsid w:val="2FE7130D"/>
    <w:rsid w:val="30133AD1"/>
    <w:rsid w:val="30281C5E"/>
    <w:rsid w:val="30483E83"/>
    <w:rsid w:val="30640F12"/>
    <w:rsid w:val="309317F7"/>
    <w:rsid w:val="30983075"/>
    <w:rsid w:val="30A04FAC"/>
    <w:rsid w:val="30AC2E50"/>
    <w:rsid w:val="30BF3991"/>
    <w:rsid w:val="3111619A"/>
    <w:rsid w:val="31B139DC"/>
    <w:rsid w:val="32221E1E"/>
    <w:rsid w:val="32497AF3"/>
    <w:rsid w:val="325F24C9"/>
    <w:rsid w:val="33B37D98"/>
    <w:rsid w:val="33F8431A"/>
    <w:rsid w:val="34052A0C"/>
    <w:rsid w:val="341E788C"/>
    <w:rsid w:val="343C0775"/>
    <w:rsid w:val="345E7431"/>
    <w:rsid w:val="348D47EE"/>
    <w:rsid w:val="34A51AF9"/>
    <w:rsid w:val="34F43D78"/>
    <w:rsid w:val="3518051D"/>
    <w:rsid w:val="355F1880"/>
    <w:rsid w:val="356C50EC"/>
    <w:rsid w:val="36137E45"/>
    <w:rsid w:val="36376E0A"/>
    <w:rsid w:val="36484C39"/>
    <w:rsid w:val="364A4C7C"/>
    <w:rsid w:val="36A83A7F"/>
    <w:rsid w:val="36C01346"/>
    <w:rsid w:val="36C02CFA"/>
    <w:rsid w:val="36C22E36"/>
    <w:rsid w:val="36C51C9C"/>
    <w:rsid w:val="3700166C"/>
    <w:rsid w:val="376A4545"/>
    <w:rsid w:val="379A1012"/>
    <w:rsid w:val="37A07CA0"/>
    <w:rsid w:val="37C71CEA"/>
    <w:rsid w:val="38694EE9"/>
    <w:rsid w:val="387B329C"/>
    <w:rsid w:val="38895178"/>
    <w:rsid w:val="38FB3BB8"/>
    <w:rsid w:val="39717338"/>
    <w:rsid w:val="39CA5376"/>
    <w:rsid w:val="3A117273"/>
    <w:rsid w:val="3A6818FA"/>
    <w:rsid w:val="3A844CA4"/>
    <w:rsid w:val="3AB344ED"/>
    <w:rsid w:val="3AC27952"/>
    <w:rsid w:val="3AF03690"/>
    <w:rsid w:val="3B0B7708"/>
    <w:rsid w:val="3B365CC9"/>
    <w:rsid w:val="3B60677A"/>
    <w:rsid w:val="3B697D24"/>
    <w:rsid w:val="3B9A7B88"/>
    <w:rsid w:val="3BD8694B"/>
    <w:rsid w:val="3C126FC3"/>
    <w:rsid w:val="3C456863"/>
    <w:rsid w:val="3C607747"/>
    <w:rsid w:val="3CC52D38"/>
    <w:rsid w:val="3CDF3F9E"/>
    <w:rsid w:val="3CE37662"/>
    <w:rsid w:val="3D2C7AC8"/>
    <w:rsid w:val="3D536596"/>
    <w:rsid w:val="3D5B369C"/>
    <w:rsid w:val="3D855D12"/>
    <w:rsid w:val="3D8B42FF"/>
    <w:rsid w:val="3DD338D1"/>
    <w:rsid w:val="3DE86C4C"/>
    <w:rsid w:val="3DF36A6E"/>
    <w:rsid w:val="3E2C6DE7"/>
    <w:rsid w:val="3E307A91"/>
    <w:rsid w:val="3E5C013B"/>
    <w:rsid w:val="3EBA1EE9"/>
    <w:rsid w:val="3EC4042E"/>
    <w:rsid w:val="3F340649"/>
    <w:rsid w:val="3F792F1E"/>
    <w:rsid w:val="3FD6525C"/>
    <w:rsid w:val="405F16F6"/>
    <w:rsid w:val="40824826"/>
    <w:rsid w:val="40D3290A"/>
    <w:rsid w:val="40E63923"/>
    <w:rsid w:val="414A4154"/>
    <w:rsid w:val="41546D80"/>
    <w:rsid w:val="415643E4"/>
    <w:rsid w:val="416F1017"/>
    <w:rsid w:val="41905B7A"/>
    <w:rsid w:val="41AF1F55"/>
    <w:rsid w:val="41D8350E"/>
    <w:rsid w:val="42971481"/>
    <w:rsid w:val="42B9450F"/>
    <w:rsid w:val="43194544"/>
    <w:rsid w:val="4340580E"/>
    <w:rsid w:val="43483E86"/>
    <w:rsid w:val="43A91E5B"/>
    <w:rsid w:val="44444E8A"/>
    <w:rsid w:val="447B69A9"/>
    <w:rsid w:val="449851D6"/>
    <w:rsid w:val="449E0D39"/>
    <w:rsid w:val="449F6565"/>
    <w:rsid w:val="44F71EFD"/>
    <w:rsid w:val="45336CAD"/>
    <w:rsid w:val="45465823"/>
    <w:rsid w:val="45B222C8"/>
    <w:rsid w:val="45B44292"/>
    <w:rsid w:val="45C73FC5"/>
    <w:rsid w:val="45E32B26"/>
    <w:rsid w:val="45EF5FB8"/>
    <w:rsid w:val="46132D66"/>
    <w:rsid w:val="463A3650"/>
    <w:rsid w:val="46461627"/>
    <w:rsid w:val="464D6CE6"/>
    <w:rsid w:val="46647A66"/>
    <w:rsid w:val="469F0116"/>
    <w:rsid w:val="46A76D1C"/>
    <w:rsid w:val="46EA7978"/>
    <w:rsid w:val="46F719D3"/>
    <w:rsid w:val="47277B83"/>
    <w:rsid w:val="4750522E"/>
    <w:rsid w:val="475259B7"/>
    <w:rsid w:val="47995D18"/>
    <w:rsid w:val="47C307BC"/>
    <w:rsid w:val="484F2050"/>
    <w:rsid w:val="488302AE"/>
    <w:rsid w:val="48831CF9"/>
    <w:rsid w:val="48AC020A"/>
    <w:rsid w:val="48B545A9"/>
    <w:rsid w:val="48CB7AD6"/>
    <w:rsid w:val="48E94A02"/>
    <w:rsid w:val="48F1321F"/>
    <w:rsid w:val="48F6071D"/>
    <w:rsid w:val="49024C9C"/>
    <w:rsid w:val="493125DA"/>
    <w:rsid w:val="49372DE2"/>
    <w:rsid w:val="495871A9"/>
    <w:rsid w:val="496F4D40"/>
    <w:rsid w:val="49B1408D"/>
    <w:rsid w:val="4A027BBB"/>
    <w:rsid w:val="4A255E93"/>
    <w:rsid w:val="4A323C61"/>
    <w:rsid w:val="4A39249C"/>
    <w:rsid w:val="4A7D4FD2"/>
    <w:rsid w:val="4A913C9A"/>
    <w:rsid w:val="4B051F57"/>
    <w:rsid w:val="4B1F70AC"/>
    <w:rsid w:val="4B2006A7"/>
    <w:rsid w:val="4B240F94"/>
    <w:rsid w:val="4B4D6D1A"/>
    <w:rsid w:val="4B6A27EE"/>
    <w:rsid w:val="4B792520"/>
    <w:rsid w:val="4B856638"/>
    <w:rsid w:val="4C0832E5"/>
    <w:rsid w:val="4C3C565C"/>
    <w:rsid w:val="4C872B5E"/>
    <w:rsid w:val="4CA666C3"/>
    <w:rsid w:val="4CCC79C7"/>
    <w:rsid w:val="4D0B5439"/>
    <w:rsid w:val="4D553CBF"/>
    <w:rsid w:val="4D7555C7"/>
    <w:rsid w:val="4DF07D79"/>
    <w:rsid w:val="4DF65A5C"/>
    <w:rsid w:val="4DFF09CC"/>
    <w:rsid w:val="4E4E3231"/>
    <w:rsid w:val="4E5E7A74"/>
    <w:rsid w:val="4EAE6DA0"/>
    <w:rsid w:val="4F0A6CD0"/>
    <w:rsid w:val="4FAB2261"/>
    <w:rsid w:val="4FD73056"/>
    <w:rsid w:val="4FE617D9"/>
    <w:rsid w:val="4FE707F9"/>
    <w:rsid w:val="50151DD1"/>
    <w:rsid w:val="5016514B"/>
    <w:rsid w:val="504E670A"/>
    <w:rsid w:val="50BD4DF3"/>
    <w:rsid w:val="50CF0EE9"/>
    <w:rsid w:val="50FC1A26"/>
    <w:rsid w:val="513B2CE7"/>
    <w:rsid w:val="51723664"/>
    <w:rsid w:val="51BB7195"/>
    <w:rsid w:val="51CB1C78"/>
    <w:rsid w:val="51FD6A51"/>
    <w:rsid w:val="52224331"/>
    <w:rsid w:val="523918FA"/>
    <w:rsid w:val="526B680A"/>
    <w:rsid w:val="52836F71"/>
    <w:rsid w:val="52953FFA"/>
    <w:rsid w:val="52CF2BA2"/>
    <w:rsid w:val="52D26B02"/>
    <w:rsid w:val="52EA30A1"/>
    <w:rsid w:val="53DC5D66"/>
    <w:rsid w:val="53F13BFB"/>
    <w:rsid w:val="54161C73"/>
    <w:rsid w:val="541A5D30"/>
    <w:rsid w:val="544563AB"/>
    <w:rsid w:val="5463070C"/>
    <w:rsid w:val="549239F0"/>
    <w:rsid w:val="54AF5038"/>
    <w:rsid w:val="55C1559C"/>
    <w:rsid w:val="55F068CD"/>
    <w:rsid w:val="56257EC5"/>
    <w:rsid w:val="563C1E65"/>
    <w:rsid w:val="566C3136"/>
    <w:rsid w:val="568076DD"/>
    <w:rsid w:val="568455BA"/>
    <w:rsid w:val="568D04F2"/>
    <w:rsid w:val="56C80241"/>
    <w:rsid w:val="573A08DB"/>
    <w:rsid w:val="578B0CFA"/>
    <w:rsid w:val="57E24C8E"/>
    <w:rsid w:val="57FA649D"/>
    <w:rsid w:val="5815308E"/>
    <w:rsid w:val="581A6B1B"/>
    <w:rsid w:val="587F6530"/>
    <w:rsid w:val="589C7293"/>
    <w:rsid w:val="58A03430"/>
    <w:rsid w:val="58F17C86"/>
    <w:rsid w:val="593C217C"/>
    <w:rsid w:val="59513E7A"/>
    <w:rsid w:val="5996188C"/>
    <w:rsid w:val="59A95F86"/>
    <w:rsid w:val="59DD395F"/>
    <w:rsid w:val="59FC110F"/>
    <w:rsid w:val="5A0B43C0"/>
    <w:rsid w:val="5A296BA4"/>
    <w:rsid w:val="5A437115"/>
    <w:rsid w:val="5A526582"/>
    <w:rsid w:val="5A5F5C77"/>
    <w:rsid w:val="5A711A0D"/>
    <w:rsid w:val="5A9B0AA1"/>
    <w:rsid w:val="5B1613E4"/>
    <w:rsid w:val="5B1A63D4"/>
    <w:rsid w:val="5B2568B5"/>
    <w:rsid w:val="5B78003B"/>
    <w:rsid w:val="5B9938B6"/>
    <w:rsid w:val="5BC11A60"/>
    <w:rsid w:val="5BFB2E5D"/>
    <w:rsid w:val="5C477A84"/>
    <w:rsid w:val="5C7A4D54"/>
    <w:rsid w:val="5CA00C74"/>
    <w:rsid w:val="5CC86079"/>
    <w:rsid w:val="5CD23B73"/>
    <w:rsid w:val="5CD57954"/>
    <w:rsid w:val="5D3B367A"/>
    <w:rsid w:val="5D5A77C0"/>
    <w:rsid w:val="5DBB5D65"/>
    <w:rsid w:val="5DC14E75"/>
    <w:rsid w:val="5E0B3554"/>
    <w:rsid w:val="5E1C65B7"/>
    <w:rsid w:val="5E231B5D"/>
    <w:rsid w:val="5E465887"/>
    <w:rsid w:val="5E5E2CC3"/>
    <w:rsid w:val="5EA1328F"/>
    <w:rsid w:val="5EE52114"/>
    <w:rsid w:val="5F127819"/>
    <w:rsid w:val="5FBA1FBA"/>
    <w:rsid w:val="60220345"/>
    <w:rsid w:val="60350ED3"/>
    <w:rsid w:val="606C3A37"/>
    <w:rsid w:val="609E371C"/>
    <w:rsid w:val="60B553C9"/>
    <w:rsid w:val="60B72AEE"/>
    <w:rsid w:val="60F872D1"/>
    <w:rsid w:val="61025188"/>
    <w:rsid w:val="61057D5F"/>
    <w:rsid w:val="61271964"/>
    <w:rsid w:val="614D4977"/>
    <w:rsid w:val="61E33ADD"/>
    <w:rsid w:val="6200643D"/>
    <w:rsid w:val="623C31ED"/>
    <w:rsid w:val="624F3EEF"/>
    <w:rsid w:val="626D25CE"/>
    <w:rsid w:val="62CE1B77"/>
    <w:rsid w:val="62F542D5"/>
    <w:rsid w:val="62F615EE"/>
    <w:rsid w:val="639875DD"/>
    <w:rsid w:val="63C60FC0"/>
    <w:rsid w:val="63CC234F"/>
    <w:rsid w:val="63E0211F"/>
    <w:rsid w:val="643B4928"/>
    <w:rsid w:val="645027A9"/>
    <w:rsid w:val="64B40B19"/>
    <w:rsid w:val="64BA3D7A"/>
    <w:rsid w:val="64F179BC"/>
    <w:rsid w:val="64F36292"/>
    <w:rsid w:val="65323AFA"/>
    <w:rsid w:val="65387F06"/>
    <w:rsid w:val="654A23E3"/>
    <w:rsid w:val="657557EF"/>
    <w:rsid w:val="658971CF"/>
    <w:rsid w:val="66127E0B"/>
    <w:rsid w:val="662B7800"/>
    <w:rsid w:val="662D4693"/>
    <w:rsid w:val="663A217C"/>
    <w:rsid w:val="664A7DA0"/>
    <w:rsid w:val="665704D3"/>
    <w:rsid w:val="669944D9"/>
    <w:rsid w:val="67A140FF"/>
    <w:rsid w:val="67C065A4"/>
    <w:rsid w:val="67C749C6"/>
    <w:rsid w:val="67D359C9"/>
    <w:rsid w:val="68042537"/>
    <w:rsid w:val="68103BDF"/>
    <w:rsid w:val="68444BA9"/>
    <w:rsid w:val="685C6397"/>
    <w:rsid w:val="68662D72"/>
    <w:rsid w:val="6899146A"/>
    <w:rsid w:val="68E2428E"/>
    <w:rsid w:val="68E6311C"/>
    <w:rsid w:val="68F41FC9"/>
    <w:rsid w:val="68FE36DD"/>
    <w:rsid w:val="694E60FC"/>
    <w:rsid w:val="69844BF2"/>
    <w:rsid w:val="6A256904"/>
    <w:rsid w:val="6A2C1D99"/>
    <w:rsid w:val="6A3053E5"/>
    <w:rsid w:val="6A696B49"/>
    <w:rsid w:val="6A70612A"/>
    <w:rsid w:val="6A7202E5"/>
    <w:rsid w:val="6A9D53A6"/>
    <w:rsid w:val="6AA10091"/>
    <w:rsid w:val="6AAA163C"/>
    <w:rsid w:val="6AD42215"/>
    <w:rsid w:val="6B656832"/>
    <w:rsid w:val="6B66417A"/>
    <w:rsid w:val="6BA22313"/>
    <w:rsid w:val="6BC71D79"/>
    <w:rsid w:val="6C0C2625"/>
    <w:rsid w:val="6C675CE6"/>
    <w:rsid w:val="6CC462B9"/>
    <w:rsid w:val="6CDD63F2"/>
    <w:rsid w:val="6D4F4321"/>
    <w:rsid w:val="6DC835B5"/>
    <w:rsid w:val="6DF41B82"/>
    <w:rsid w:val="6DFF7360"/>
    <w:rsid w:val="6E0A7D76"/>
    <w:rsid w:val="6E7A5F73"/>
    <w:rsid w:val="6E946CD9"/>
    <w:rsid w:val="6EB20ABF"/>
    <w:rsid w:val="6EE2027D"/>
    <w:rsid w:val="6EE90F9D"/>
    <w:rsid w:val="6F1D7B64"/>
    <w:rsid w:val="6FA3261F"/>
    <w:rsid w:val="6FB6454A"/>
    <w:rsid w:val="6FD74228"/>
    <w:rsid w:val="7021106F"/>
    <w:rsid w:val="70D10596"/>
    <w:rsid w:val="711543BA"/>
    <w:rsid w:val="71462F6F"/>
    <w:rsid w:val="71633091"/>
    <w:rsid w:val="722531EF"/>
    <w:rsid w:val="722A5618"/>
    <w:rsid w:val="725A270A"/>
    <w:rsid w:val="72AF0A95"/>
    <w:rsid w:val="72C708B1"/>
    <w:rsid w:val="72DE7177"/>
    <w:rsid w:val="73081CA5"/>
    <w:rsid w:val="73136EFB"/>
    <w:rsid w:val="73275BE6"/>
    <w:rsid w:val="735A5BA1"/>
    <w:rsid w:val="73A86934"/>
    <w:rsid w:val="73E831D5"/>
    <w:rsid w:val="74201F7D"/>
    <w:rsid w:val="742B0312"/>
    <w:rsid w:val="742F6FCE"/>
    <w:rsid w:val="74454183"/>
    <w:rsid w:val="745E36D6"/>
    <w:rsid w:val="7487762D"/>
    <w:rsid w:val="74A75601"/>
    <w:rsid w:val="74C33AA4"/>
    <w:rsid w:val="74FD43C1"/>
    <w:rsid w:val="751A7C36"/>
    <w:rsid w:val="75210D7A"/>
    <w:rsid w:val="753058B5"/>
    <w:rsid w:val="75385498"/>
    <w:rsid w:val="755C4F99"/>
    <w:rsid w:val="75680129"/>
    <w:rsid w:val="75AE0CEB"/>
    <w:rsid w:val="75F37776"/>
    <w:rsid w:val="75F556AF"/>
    <w:rsid w:val="766074DD"/>
    <w:rsid w:val="76BC207F"/>
    <w:rsid w:val="76C646D6"/>
    <w:rsid w:val="76EB4904"/>
    <w:rsid w:val="773504DF"/>
    <w:rsid w:val="774C1609"/>
    <w:rsid w:val="77645DCD"/>
    <w:rsid w:val="776C29AF"/>
    <w:rsid w:val="777378F5"/>
    <w:rsid w:val="777A2D3C"/>
    <w:rsid w:val="77B01193"/>
    <w:rsid w:val="78673398"/>
    <w:rsid w:val="786F7C97"/>
    <w:rsid w:val="78A715E8"/>
    <w:rsid w:val="78EE4DE9"/>
    <w:rsid w:val="79074B81"/>
    <w:rsid w:val="794F0939"/>
    <w:rsid w:val="794F7912"/>
    <w:rsid w:val="79660669"/>
    <w:rsid w:val="79703A50"/>
    <w:rsid w:val="79865986"/>
    <w:rsid w:val="79AE6327"/>
    <w:rsid w:val="79AF0FCA"/>
    <w:rsid w:val="7A37456E"/>
    <w:rsid w:val="7A9C5DCD"/>
    <w:rsid w:val="7AF9279C"/>
    <w:rsid w:val="7AFF0EAF"/>
    <w:rsid w:val="7B1448AF"/>
    <w:rsid w:val="7B514853"/>
    <w:rsid w:val="7BCA404B"/>
    <w:rsid w:val="7C0E7550"/>
    <w:rsid w:val="7CC51958"/>
    <w:rsid w:val="7CD53DF9"/>
    <w:rsid w:val="7CDC4B3C"/>
    <w:rsid w:val="7D097C86"/>
    <w:rsid w:val="7D1868D9"/>
    <w:rsid w:val="7DDD4629"/>
    <w:rsid w:val="7E2936C3"/>
    <w:rsid w:val="7E301A00"/>
    <w:rsid w:val="7E4436FD"/>
    <w:rsid w:val="7E6411B9"/>
    <w:rsid w:val="7EA63A70"/>
    <w:rsid w:val="7F597E98"/>
    <w:rsid w:val="7F5B0819"/>
    <w:rsid w:val="7F5B2D73"/>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59"/>
    <w:autoRedefine/>
    <w:qFormat/>
    <w:uiPriority w:val="9"/>
    <w:pPr>
      <w:keepNext/>
      <w:keepLines/>
      <w:spacing w:before="340" w:after="330" w:line="578" w:lineRule="auto"/>
      <w:outlineLvl w:val="0"/>
    </w:pPr>
    <w:rPr>
      <w:b/>
      <w:bCs/>
      <w:kern w:val="44"/>
      <w:sz w:val="44"/>
      <w:szCs w:val="44"/>
    </w:rPr>
  </w:style>
  <w:style w:type="paragraph" w:styleId="5">
    <w:name w:val="heading 2"/>
    <w:basedOn w:val="6"/>
    <w:next w:val="1"/>
    <w:autoRedefine/>
    <w:qFormat/>
    <w:uiPriority w:val="0"/>
    <w:pPr>
      <w:spacing w:line="415" w:lineRule="auto"/>
      <w:outlineLvl w:val="1"/>
    </w:pPr>
    <w:rPr>
      <w:rFonts w:ascii="Arial" w:hAnsi="Arial" w:eastAsia="黑体" w:cs="Arial"/>
    </w:rPr>
  </w:style>
  <w:style w:type="paragraph" w:styleId="6">
    <w:name w:val="heading 3"/>
    <w:basedOn w:val="1"/>
    <w:next w:val="1"/>
    <w:link w:val="61"/>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6"/>
    <w:autoRedefine/>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autoRedefine/>
    <w:unhideWhenUsed/>
    <w:qFormat/>
    <w:uiPriority w:val="99"/>
    <w:pPr>
      <w:ind w:firstLine="420" w:firstLineChars="100"/>
    </w:pPr>
  </w:style>
  <w:style w:type="paragraph" w:styleId="3">
    <w:name w:val="Body Text"/>
    <w:basedOn w:val="1"/>
    <w:next w:val="1"/>
    <w:autoRedefine/>
    <w:qFormat/>
    <w:uiPriority w:val="0"/>
    <w:pPr>
      <w:spacing w:after="120"/>
    </w:pPr>
    <w:rPr>
      <w:rFonts w:ascii="@微软简标宋" w:hAnsi="@微软简标宋" w:eastAsia="@微软简标宋" w:cs="@微软简标宋"/>
      <w:szCs w:val="24"/>
      <w:lang w:val="zh-CN"/>
    </w:rPr>
  </w:style>
  <w:style w:type="paragraph" w:styleId="8">
    <w:name w:val="toc 7"/>
    <w:basedOn w:val="1"/>
    <w:next w:val="1"/>
    <w:qFormat/>
    <w:uiPriority w:val="39"/>
    <w:pPr>
      <w:ind w:left="1260"/>
      <w:jc w:val="left"/>
    </w:pPr>
    <w:rPr>
      <w:sz w:val="18"/>
      <w:szCs w:val="18"/>
    </w:rPr>
  </w:style>
  <w:style w:type="paragraph" w:styleId="9">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58"/>
    <w:autoRedefine/>
    <w:qFormat/>
    <w:uiPriority w:val="0"/>
    <w:pPr>
      <w:jc w:val="left"/>
    </w:pPr>
    <w:rPr>
      <w:rFonts w:ascii="Arial" w:hAnsi="Arial" w:eastAsia="黑体" w:cs="Arial"/>
    </w:rPr>
  </w:style>
  <w:style w:type="paragraph" w:styleId="11">
    <w:name w:val="Body Text Indent"/>
    <w:basedOn w:val="1"/>
    <w:autoRedefine/>
    <w:qFormat/>
    <w:uiPriority w:val="0"/>
    <w:pPr>
      <w:spacing w:after="120"/>
      <w:ind w:left="420" w:leftChars="200"/>
    </w:pPr>
  </w:style>
  <w:style w:type="paragraph" w:styleId="12">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48"/>
    <w:autoRedefine/>
    <w:qFormat/>
    <w:uiPriority w:val="99"/>
    <w:rPr>
      <w:rFonts w:ascii="宋体" w:hAnsi="Courier New" w:eastAsiaTheme="minorEastAsia" w:cstheme="minorBidi"/>
      <w:szCs w:val="22"/>
    </w:rPr>
  </w:style>
  <w:style w:type="paragraph" w:styleId="14">
    <w:name w:val="Date"/>
    <w:basedOn w:val="1"/>
    <w:next w:val="1"/>
    <w:link w:val="55"/>
    <w:autoRedefine/>
    <w:qFormat/>
    <w:uiPriority w:val="0"/>
    <w:rPr>
      <w:rFonts w:ascii="Arial" w:hAnsi="Arial" w:eastAsia="宋体" w:cs="Arial"/>
      <w:b/>
      <w:sz w:val="28"/>
    </w:rPr>
  </w:style>
  <w:style w:type="paragraph" w:styleId="15">
    <w:name w:val="Balloon Text"/>
    <w:basedOn w:val="1"/>
    <w:link w:val="42"/>
    <w:autoRedefine/>
    <w:semiHidden/>
    <w:unhideWhenUsed/>
    <w:qFormat/>
    <w:uiPriority w:val="99"/>
    <w:rPr>
      <w:sz w:val="18"/>
      <w:szCs w:val="18"/>
    </w:rPr>
  </w:style>
  <w:style w:type="paragraph" w:styleId="16">
    <w:name w:val="footer"/>
    <w:basedOn w:val="1"/>
    <w:link w:val="47"/>
    <w:autoRedefine/>
    <w:unhideWhenUsed/>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link w:val="4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List 4"/>
    <w:basedOn w:val="1"/>
    <w:qFormat/>
    <w:uiPriority w:val="0"/>
    <w:pPr>
      <w:ind w:left="1680" w:hanging="420"/>
    </w:p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10"/>
    <w:next w:val="10"/>
    <w:link w:val="69"/>
    <w:autoRedefine/>
    <w:semiHidden/>
    <w:unhideWhenUsed/>
    <w:qFormat/>
    <w:uiPriority w:val="99"/>
    <w:rPr>
      <w:rFonts w:ascii="@仿宋_GB2312" w:hAnsi="@仿宋_GB2312" w:eastAsia="@仿宋_GB2312" w:cs="@仿宋_GB2312"/>
      <w:b/>
      <w:bCs/>
    </w:rPr>
  </w:style>
  <w:style w:type="paragraph" w:styleId="25">
    <w:name w:val="Body Text First Indent 2"/>
    <w:basedOn w:val="11"/>
    <w:qFormat/>
    <w:uiPriority w:val="0"/>
    <w:pPr>
      <w:ind w:firstLine="420" w:firstLineChars="200"/>
    </w:pPr>
  </w:style>
  <w:style w:type="table" w:styleId="27">
    <w:name w:val="Table Grid"/>
    <w:basedOn w:val="2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b/>
      <w:bCs/>
    </w:rPr>
  </w:style>
  <w:style w:type="character" w:styleId="30">
    <w:name w:val="FollowedHyperlink"/>
    <w:basedOn w:val="28"/>
    <w:semiHidden/>
    <w:unhideWhenUsed/>
    <w:qFormat/>
    <w:uiPriority w:val="99"/>
    <w:rPr>
      <w:color w:val="800080"/>
      <w:u w:val="none"/>
    </w:rPr>
  </w:style>
  <w:style w:type="character" w:styleId="31">
    <w:name w:val="HTML Definition"/>
    <w:basedOn w:val="28"/>
    <w:semiHidden/>
    <w:unhideWhenUsed/>
    <w:qFormat/>
    <w:uiPriority w:val="99"/>
  </w:style>
  <w:style w:type="character" w:styleId="32">
    <w:name w:val="HTML Typewriter"/>
    <w:basedOn w:val="28"/>
    <w:semiHidden/>
    <w:unhideWhenUsed/>
    <w:qFormat/>
    <w:uiPriority w:val="99"/>
    <w:rPr>
      <w:rFonts w:ascii="monospace" w:hAnsi="monospace" w:eastAsia="monospace" w:cs="monospace"/>
      <w:sz w:val="20"/>
    </w:rPr>
  </w:style>
  <w:style w:type="character" w:styleId="33">
    <w:name w:val="HTML Acronym"/>
    <w:basedOn w:val="28"/>
    <w:semiHidden/>
    <w:unhideWhenUsed/>
    <w:qFormat/>
    <w:uiPriority w:val="99"/>
  </w:style>
  <w:style w:type="character" w:styleId="34">
    <w:name w:val="HTML Variable"/>
    <w:basedOn w:val="28"/>
    <w:semiHidden/>
    <w:unhideWhenUsed/>
    <w:qFormat/>
    <w:uiPriority w:val="99"/>
  </w:style>
  <w:style w:type="character" w:styleId="35">
    <w:name w:val="Hyperlink"/>
    <w:basedOn w:val="28"/>
    <w:autoRedefine/>
    <w:unhideWhenUsed/>
    <w:qFormat/>
    <w:uiPriority w:val="99"/>
    <w:rPr>
      <w:color w:val="0000FF" w:themeColor="hyperlink"/>
      <w:u w:val="single"/>
      <w14:textFill>
        <w14:solidFill>
          <w14:schemeClr w14:val="hlink"/>
        </w14:solidFill>
      </w14:textFill>
    </w:rPr>
  </w:style>
  <w:style w:type="character" w:styleId="36">
    <w:name w:val="HTML Code"/>
    <w:basedOn w:val="28"/>
    <w:semiHidden/>
    <w:unhideWhenUsed/>
    <w:qFormat/>
    <w:uiPriority w:val="99"/>
    <w:rPr>
      <w:rFonts w:hint="default" w:ascii="monospace" w:hAnsi="monospace" w:eastAsia="monospace" w:cs="monospace"/>
      <w:sz w:val="20"/>
    </w:rPr>
  </w:style>
  <w:style w:type="character" w:styleId="37">
    <w:name w:val="annotation reference"/>
    <w:basedOn w:val="28"/>
    <w:autoRedefine/>
    <w:semiHidden/>
    <w:unhideWhenUsed/>
    <w:qFormat/>
    <w:uiPriority w:val="99"/>
    <w:rPr>
      <w:sz w:val="21"/>
      <w:szCs w:val="21"/>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表格文字"/>
    <w:basedOn w:val="1"/>
    <w:qFormat/>
    <w:uiPriority w:val="0"/>
    <w:rPr>
      <w:bCs/>
      <w:spacing w:val="10"/>
      <w:szCs w:val="20"/>
    </w:rPr>
  </w:style>
  <w:style w:type="character" w:customStyle="1" w:styleId="42">
    <w:name w:val="批注框文本 字符"/>
    <w:basedOn w:val="28"/>
    <w:link w:val="15"/>
    <w:autoRedefine/>
    <w:semiHidden/>
    <w:qFormat/>
    <w:uiPriority w:val="99"/>
    <w:rPr>
      <w:rFonts w:ascii="@仿宋_GB2312" w:hAnsi="@仿宋_GB2312" w:eastAsia="@仿宋_GB2312" w:cs="@仿宋_GB2312"/>
      <w:sz w:val="18"/>
      <w:szCs w:val="18"/>
    </w:rPr>
  </w:style>
  <w:style w:type="paragraph" w:customStyle="1" w:styleId="4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5">
    <w:name w:val="D&amp;L"/>
    <w:basedOn w:val="1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6">
    <w:name w:val="页眉 字符"/>
    <w:basedOn w:val="28"/>
    <w:link w:val="18"/>
    <w:autoRedefine/>
    <w:qFormat/>
    <w:uiPriority w:val="99"/>
    <w:rPr>
      <w:rFonts w:ascii="@仿宋_GB2312" w:hAnsi="@仿宋_GB2312" w:eastAsia="@仿宋_GB2312" w:cs="@仿宋_GB2312"/>
      <w:sz w:val="18"/>
      <w:szCs w:val="18"/>
    </w:rPr>
  </w:style>
  <w:style w:type="character" w:customStyle="1" w:styleId="47">
    <w:name w:val="页脚 字符"/>
    <w:basedOn w:val="28"/>
    <w:link w:val="16"/>
    <w:autoRedefine/>
    <w:qFormat/>
    <w:uiPriority w:val="99"/>
    <w:rPr>
      <w:rFonts w:ascii="@仿宋_GB2312" w:hAnsi="@仿宋_GB2312" w:eastAsia="@仿宋_GB2312" w:cs="@仿宋_GB2312"/>
      <w:sz w:val="18"/>
      <w:szCs w:val="18"/>
    </w:rPr>
  </w:style>
  <w:style w:type="character" w:customStyle="1" w:styleId="48">
    <w:name w:val="纯文本 字符"/>
    <w:link w:val="13"/>
    <w:autoRedefine/>
    <w:qFormat/>
    <w:uiPriority w:val="0"/>
    <w:rPr>
      <w:rFonts w:ascii="宋体" w:hAnsi="Courier New"/>
    </w:rPr>
  </w:style>
  <w:style w:type="character" w:customStyle="1" w:styleId="49">
    <w:name w:val="纯文本 字符1"/>
    <w:basedOn w:val="28"/>
    <w:autoRedefine/>
    <w:semiHidden/>
    <w:qFormat/>
    <w:uiPriority w:val="99"/>
    <w:rPr>
      <w:rFonts w:hAnsi="Courier New" w:cs="Courier New" w:asciiTheme="minorEastAsia"/>
      <w:szCs w:val="20"/>
    </w:rPr>
  </w:style>
  <w:style w:type="character" w:customStyle="1" w:styleId="50">
    <w:name w:val="未处理的提及1"/>
    <w:basedOn w:val="28"/>
    <w:autoRedefine/>
    <w:semiHidden/>
    <w:unhideWhenUsed/>
    <w:qFormat/>
    <w:uiPriority w:val="99"/>
    <w:rPr>
      <w:color w:val="605E5C"/>
      <w:shd w:val="clear" w:color="auto" w:fill="E1DFDD"/>
    </w:rPr>
  </w:style>
  <w:style w:type="paragraph" w:styleId="51">
    <w:name w:val="List Paragraph"/>
    <w:basedOn w:val="1"/>
    <w:autoRedefine/>
    <w:qFormat/>
    <w:uiPriority w:val="34"/>
    <w:pPr>
      <w:ind w:firstLine="420" w:firstLineChars="200"/>
    </w:pPr>
  </w:style>
  <w:style w:type="paragraph" w:customStyle="1" w:styleId="52">
    <w:name w:val="Char Char Char Char Char Char Char1 Char"/>
    <w:basedOn w:val="1"/>
    <w:autoRedefine/>
    <w:qFormat/>
    <w:uiPriority w:val="0"/>
    <w:rPr>
      <w:rFonts w:ascii="Arial" w:hAnsi="Arial" w:eastAsia="宋体" w:cs="Arial"/>
      <w:sz w:val="24"/>
    </w:rPr>
  </w:style>
  <w:style w:type="table" w:customStyle="1" w:styleId="53">
    <w:name w:val="网格表 1 浅色1"/>
    <w:basedOn w:val="2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4">
    <w:name w:val="日期 字符"/>
    <w:basedOn w:val="28"/>
    <w:autoRedefine/>
    <w:semiHidden/>
    <w:qFormat/>
    <w:uiPriority w:val="99"/>
    <w:rPr>
      <w:rFonts w:ascii="@仿宋_GB2312" w:hAnsi="@仿宋_GB2312" w:eastAsia="@仿宋_GB2312" w:cs="@仿宋_GB2312"/>
      <w:szCs w:val="20"/>
    </w:rPr>
  </w:style>
  <w:style w:type="character" w:customStyle="1" w:styleId="55">
    <w:name w:val="日期 字符1"/>
    <w:link w:val="14"/>
    <w:autoRedefine/>
    <w:qFormat/>
    <w:uiPriority w:val="0"/>
    <w:rPr>
      <w:rFonts w:ascii="Arial" w:hAnsi="Arial" w:eastAsia="宋体" w:cs="Arial"/>
      <w:b/>
      <w:sz w:val="28"/>
      <w:szCs w:val="20"/>
    </w:rPr>
  </w:style>
  <w:style w:type="character" w:customStyle="1" w:styleId="56">
    <w:name w:val="纯文本 Char1"/>
    <w:autoRedefine/>
    <w:qFormat/>
    <w:locked/>
    <w:uiPriority w:val="99"/>
    <w:rPr>
      <w:rFonts w:ascii="Arial" w:hAnsi="Arial" w:eastAsia="Arial"/>
      <w:kern w:val="2"/>
      <w:sz w:val="21"/>
      <w:lang w:val="en-US" w:eastAsia="zh-CN" w:bidi="ar-SA"/>
    </w:rPr>
  </w:style>
  <w:style w:type="character" w:customStyle="1" w:styleId="57">
    <w:name w:val="批注文字 Char"/>
    <w:basedOn w:val="28"/>
    <w:autoRedefine/>
    <w:semiHidden/>
    <w:qFormat/>
    <w:uiPriority w:val="99"/>
    <w:rPr>
      <w:rFonts w:ascii="@仿宋_GB2312" w:hAnsi="@仿宋_GB2312" w:eastAsia="@仿宋_GB2312" w:cs="@仿宋_GB2312"/>
      <w:szCs w:val="20"/>
    </w:rPr>
  </w:style>
  <w:style w:type="character" w:customStyle="1" w:styleId="58">
    <w:name w:val="批注文字 字符"/>
    <w:link w:val="10"/>
    <w:autoRedefine/>
    <w:qFormat/>
    <w:uiPriority w:val="0"/>
    <w:rPr>
      <w:rFonts w:ascii="Arial" w:hAnsi="Arial" w:eastAsia="黑体" w:cs="Arial"/>
      <w:szCs w:val="20"/>
    </w:rPr>
  </w:style>
  <w:style w:type="character" w:customStyle="1" w:styleId="59">
    <w:name w:val="标题 1 字符"/>
    <w:basedOn w:val="28"/>
    <w:link w:val="4"/>
    <w:autoRedefine/>
    <w:qFormat/>
    <w:uiPriority w:val="9"/>
    <w:rPr>
      <w:rFonts w:ascii="@仿宋_GB2312" w:hAnsi="@仿宋_GB2312" w:eastAsia="@仿宋_GB2312" w:cs="@仿宋_GB2312"/>
      <w:b/>
      <w:bCs/>
      <w:kern w:val="44"/>
      <w:sz w:val="44"/>
      <w:szCs w:val="44"/>
    </w:rPr>
  </w:style>
  <w:style w:type="paragraph" w:customStyle="1" w:styleId="60">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标题 3 字符"/>
    <w:basedOn w:val="28"/>
    <w:link w:val="6"/>
    <w:autoRedefine/>
    <w:semiHidden/>
    <w:qFormat/>
    <w:uiPriority w:val="9"/>
    <w:rPr>
      <w:rFonts w:ascii="@仿宋_GB2312" w:hAnsi="@仿宋_GB2312" w:eastAsia="@仿宋_GB2312" w:cs="@仿宋_GB2312"/>
      <w:b/>
      <w:bCs/>
      <w:sz w:val="32"/>
      <w:szCs w:val="32"/>
    </w:rPr>
  </w:style>
  <w:style w:type="character" w:customStyle="1" w:styleId="62">
    <w:name w:val="fontstyle01"/>
    <w:basedOn w:val="28"/>
    <w:autoRedefine/>
    <w:qFormat/>
    <w:uiPriority w:val="0"/>
    <w:rPr>
      <w:rFonts w:hint="eastAsia" w:ascii="宋体" w:hAnsi="宋体" w:eastAsia="宋体"/>
      <w:color w:val="000000"/>
      <w:sz w:val="22"/>
      <w:szCs w:val="22"/>
    </w:rPr>
  </w:style>
  <w:style w:type="character" w:customStyle="1" w:styleId="63">
    <w:name w:val="fontstyle21"/>
    <w:basedOn w:val="28"/>
    <w:autoRedefine/>
    <w:qFormat/>
    <w:uiPriority w:val="0"/>
    <w:rPr>
      <w:rFonts w:hint="default" w:ascii="TimesNewRomanPSMT" w:hAnsi="TimesNewRomanPSMT"/>
      <w:color w:val="000000"/>
      <w:sz w:val="22"/>
      <w:szCs w:val="22"/>
    </w:rPr>
  </w:style>
  <w:style w:type="character" w:customStyle="1" w:styleId="6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5">
    <w:name w:val="标题 4 字符"/>
    <w:basedOn w:val="28"/>
    <w:autoRedefine/>
    <w:semiHidden/>
    <w:qFormat/>
    <w:uiPriority w:val="9"/>
    <w:rPr>
      <w:rFonts w:asciiTheme="majorHAnsi" w:hAnsiTheme="majorHAnsi" w:eastAsiaTheme="majorEastAsia" w:cstheme="majorBidi"/>
      <w:b/>
      <w:bCs/>
      <w:sz w:val="28"/>
      <w:szCs w:val="28"/>
    </w:rPr>
  </w:style>
  <w:style w:type="character" w:customStyle="1" w:styleId="66">
    <w:name w:val="标题 4 字符1"/>
    <w:link w:val="7"/>
    <w:autoRedefine/>
    <w:qFormat/>
    <w:uiPriority w:val="0"/>
    <w:rPr>
      <w:rFonts w:ascii="@仿宋_GB2312" w:hAnsi="@仿宋_GB2312" w:eastAsia="@仿宋_GB2312" w:cs="@仿宋_GB2312"/>
      <w:b/>
      <w:bCs/>
      <w:sz w:val="28"/>
      <w:szCs w:val="28"/>
    </w:rPr>
  </w:style>
  <w:style w:type="character" w:customStyle="1" w:styleId="67">
    <w:name w:val="标题 4 Char"/>
    <w:autoRedefine/>
    <w:qFormat/>
    <w:uiPriority w:val="0"/>
    <w:rPr>
      <w:rFonts w:ascii="Arial" w:hAnsi="Arial" w:eastAsia="Arial"/>
      <w:b/>
      <w:bCs/>
      <w:kern w:val="2"/>
      <w:sz w:val="28"/>
      <w:szCs w:val="28"/>
      <w:lang w:val="en-US" w:eastAsia="zh-CN" w:bidi="ar-SA"/>
    </w:rPr>
  </w:style>
  <w:style w:type="table" w:customStyle="1" w:styleId="68">
    <w:name w:val="网格型1"/>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9">
    <w:name w:val="批注主题 字符"/>
    <w:basedOn w:val="58"/>
    <w:link w:val="24"/>
    <w:autoRedefine/>
    <w:semiHidden/>
    <w:qFormat/>
    <w:uiPriority w:val="99"/>
    <w:rPr>
      <w:rFonts w:ascii="@仿宋_GB2312" w:hAnsi="@仿宋_GB2312" w:eastAsia="@仿宋_GB2312" w:cs="@仿宋_GB2312"/>
      <w:b/>
      <w:bCs/>
      <w:szCs w:val="20"/>
    </w:rPr>
  </w:style>
  <w:style w:type="table" w:customStyle="1" w:styleId="70">
    <w:name w:val="Table Normal"/>
    <w:autoRedefine/>
    <w:semiHidden/>
    <w:unhideWhenUsed/>
    <w:qFormat/>
    <w:uiPriority w:val="0"/>
    <w:tblPr>
      <w:tblCellMar>
        <w:top w:w="0" w:type="dxa"/>
        <w:left w:w="0" w:type="dxa"/>
        <w:bottom w:w="0" w:type="dxa"/>
        <w:right w:w="0" w:type="dxa"/>
      </w:tblCellMar>
    </w:tblPr>
  </w:style>
  <w:style w:type="paragraph" w:customStyle="1" w:styleId="71">
    <w:name w:val="Table Text"/>
    <w:basedOn w:val="1"/>
    <w:autoRedefine/>
    <w:semiHidden/>
    <w:qFormat/>
    <w:uiPriority w:val="0"/>
    <w:rPr>
      <w:rFonts w:ascii="Arial" w:hAnsi="Arial" w:eastAsia="Arial" w:cs="Arial"/>
      <w:szCs w:val="21"/>
      <w:lang w:eastAsia="en-US"/>
    </w:rPr>
  </w:style>
  <w:style w:type="paragraph" w:customStyle="1" w:styleId="7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3">
    <w:name w:val="列出段落1"/>
    <w:basedOn w:val="1"/>
    <w:autoRedefine/>
    <w:qFormat/>
    <w:uiPriority w:val="0"/>
    <w:pPr>
      <w:ind w:firstLine="420" w:firstLineChars="200"/>
    </w:pPr>
    <w:rPr>
      <w:szCs w:val="21"/>
    </w:rPr>
  </w:style>
  <w:style w:type="character" w:customStyle="1" w:styleId="74">
    <w:name w:val="15"/>
    <w:basedOn w:val="28"/>
    <w:qFormat/>
    <w:uiPriority w:val="0"/>
    <w:rPr>
      <w:rFonts w:hint="default" w:ascii="Times New Roman" w:hAnsi="Times New Roman" w:cs="Times New Roman"/>
      <w:color w:val="0000FF"/>
      <w:u w:val="single"/>
    </w:rPr>
  </w:style>
  <w:style w:type="character" w:customStyle="1" w:styleId="75">
    <w:name w:val="10"/>
    <w:basedOn w:val="28"/>
    <w:qFormat/>
    <w:uiPriority w:val="0"/>
    <w:rPr>
      <w:rFonts w:hint="default" w:ascii="Times New Roman" w:hAnsi="Times New Roman" w:cs="Times New Roman"/>
    </w:rPr>
  </w:style>
  <w:style w:type="character" w:customStyle="1" w:styleId="76">
    <w:name w:val="first-child"/>
    <w:basedOn w:val="28"/>
    <w:qFormat/>
    <w:uiPriority w:val="0"/>
  </w:style>
  <w:style w:type="character" w:customStyle="1" w:styleId="77">
    <w:name w:val="layui-this"/>
    <w:basedOn w:val="28"/>
    <w:qFormat/>
    <w:uiPriority w:val="0"/>
    <w:rPr>
      <w:bdr w:val="single" w:color="EEEEEE" w:sz="6" w:space="0"/>
      <w:shd w:val="clear" w:color="auto" w:fill="FFFFFF"/>
    </w:rPr>
  </w:style>
  <w:style w:type="paragraph" w:customStyle="1" w:styleId="78">
    <w:name w:val="Table Paragraph"/>
    <w:basedOn w:val="1"/>
    <w:next w:val="21"/>
    <w:qFormat/>
    <w:uiPriority w:val="0"/>
    <w:rPr>
      <w:rFonts w:ascii="宋体" w:hAnsi="宋体" w:eastAsia="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52</Pages>
  <Words>9808</Words>
  <Characters>10438</Characters>
  <Lines>1</Lines>
  <Paragraphs>1</Paragraphs>
  <TotalTime>3</TotalTime>
  <ScaleCrop>false</ScaleCrop>
  <LinksUpToDate>false</LinksUpToDate>
  <CharactersWithSpaces>10624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无聊的老H</cp:lastModifiedBy>
  <cp:lastPrinted>2026-07-13T09:52:00Z</cp:lastPrinted>
  <dcterms:modified xsi:type="dcterms:W3CDTF">2026-09-04T00:49:08Z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eyJoZGlkIjoiNjM4NjllMjMwYTI3YTcyYTI2MjNlMjI3YzQ4MGZmY2UiLCJ1c2VySWQiOiIzNzgzMjE3NjkifQ==</vt:lpwstr>
  </property>
</Properties>
</file>